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85EDC" w14:textId="77777777" w:rsidR="000E34BD" w:rsidRDefault="000E34BD" w:rsidP="000E34BD">
      <w:pPr>
        <w:jc w:val="center"/>
        <w:rPr>
          <w:rFonts w:ascii="Courier New" w:eastAsia="Times New Roman" w:hAnsi="Courier New" w:cs="Times New Roman"/>
          <w:color w:val="000000"/>
        </w:rPr>
      </w:pPr>
      <w:r w:rsidRPr="000E34BD">
        <w:rPr>
          <w:rFonts w:ascii="Courier New" w:eastAsia="Times New Roman" w:hAnsi="Courier New" w:cs="Times New Roman"/>
          <w:color w:val="000000"/>
        </w:rPr>
        <w:t>AN ACT</w:t>
      </w:r>
    </w:p>
    <w:p w14:paraId="4E2BCEED" w14:textId="77777777" w:rsidR="000E34BD" w:rsidRPr="000E34BD" w:rsidRDefault="000E34BD" w:rsidP="000E34BD">
      <w:pPr>
        <w:jc w:val="center"/>
        <w:rPr>
          <w:rFonts w:ascii="Times" w:eastAsia="Times New Roman" w:hAnsi="Times" w:cs="Times New Roman"/>
          <w:sz w:val="20"/>
          <w:szCs w:val="20"/>
        </w:rPr>
      </w:pPr>
    </w:p>
    <w:p w14:paraId="01AE2C00" w14:textId="68CB0F41" w:rsidR="00C0416F" w:rsidRPr="00C0416F" w:rsidRDefault="000E34BD">
      <w:pPr>
        <w:rPr>
          <w:rFonts w:ascii="Times" w:eastAsia="Times New Roman" w:hAnsi="Times" w:cs="Times New Roman"/>
          <w:sz w:val="20"/>
          <w:szCs w:val="20"/>
        </w:rPr>
      </w:pPr>
      <w:r w:rsidRPr="000E34BD">
        <w:rPr>
          <w:rFonts w:ascii="Courier New" w:eastAsia="Times New Roman" w:hAnsi="Courier New" w:cs="Times New Roman"/>
          <w:color w:val="000000"/>
        </w:rPr>
        <w:t xml:space="preserve">Amending the act of May 17, 1921 </w:t>
      </w:r>
      <w:r>
        <w:rPr>
          <w:rFonts w:ascii="Courier New" w:eastAsia="Times New Roman" w:hAnsi="Courier New" w:cs="Times New Roman"/>
          <w:color w:val="000000"/>
        </w:rPr>
        <w:t xml:space="preserve">(P.L.682, No.284), entitled "An </w:t>
      </w:r>
      <w:r w:rsidRPr="000E34BD">
        <w:rPr>
          <w:rFonts w:ascii="Courier New" w:eastAsia="Times New Roman" w:hAnsi="Courier New" w:cs="Times New Roman"/>
          <w:color w:val="000000"/>
        </w:rPr>
        <w:t>act relating to ins</w:t>
      </w:r>
      <w:r>
        <w:rPr>
          <w:rFonts w:ascii="Courier New" w:eastAsia="Times New Roman" w:hAnsi="Courier New" w:cs="Times New Roman"/>
          <w:color w:val="000000"/>
        </w:rPr>
        <w:t xml:space="preserve">urance; amending, revising, and </w:t>
      </w:r>
      <w:r w:rsidRPr="000E34BD">
        <w:rPr>
          <w:rFonts w:ascii="Courier New" w:eastAsia="Times New Roman" w:hAnsi="Courier New" w:cs="Times New Roman"/>
          <w:color w:val="000000"/>
        </w:rPr>
        <w:t>consolidating the law pro</w:t>
      </w:r>
      <w:r>
        <w:rPr>
          <w:rFonts w:ascii="Courier New" w:eastAsia="Times New Roman" w:hAnsi="Courier New" w:cs="Times New Roman"/>
          <w:color w:val="000000"/>
        </w:rPr>
        <w:t xml:space="preserve">viding for the incorporation of </w:t>
      </w:r>
      <w:r w:rsidRPr="000E34BD">
        <w:rPr>
          <w:rFonts w:ascii="Courier New" w:eastAsia="Times New Roman" w:hAnsi="Courier New" w:cs="Times New Roman"/>
          <w:color w:val="000000"/>
        </w:rPr>
        <w:t>insurance companies, and t</w:t>
      </w:r>
      <w:r>
        <w:rPr>
          <w:rFonts w:ascii="Courier New" w:eastAsia="Times New Roman" w:hAnsi="Courier New" w:cs="Times New Roman"/>
          <w:color w:val="000000"/>
        </w:rPr>
        <w:t xml:space="preserve">he regulation, supervision, and </w:t>
      </w:r>
      <w:r w:rsidRPr="000E34BD">
        <w:rPr>
          <w:rFonts w:ascii="Courier New" w:eastAsia="Times New Roman" w:hAnsi="Courier New" w:cs="Times New Roman"/>
          <w:color w:val="000000"/>
        </w:rPr>
        <w:t>protection of home and fore</w:t>
      </w:r>
      <w:r>
        <w:rPr>
          <w:rFonts w:ascii="Courier New" w:eastAsia="Times New Roman" w:hAnsi="Courier New" w:cs="Times New Roman"/>
          <w:color w:val="000000"/>
        </w:rPr>
        <w:t xml:space="preserve">ign insurance companies, Lloyds </w:t>
      </w:r>
      <w:r w:rsidRPr="000E34BD">
        <w:rPr>
          <w:rFonts w:ascii="Courier New" w:eastAsia="Times New Roman" w:hAnsi="Courier New" w:cs="Times New Roman"/>
          <w:color w:val="000000"/>
        </w:rPr>
        <w:t>associations, reciprocal and inter-insuran</w:t>
      </w:r>
      <w:r>
        <w:rPr>
          <w:rFonts w:ascii="Courier New" w:eastAsia="Times New Roman" w:hAnsi="Courier New" w:cs="Times New Roman"/>
          <w:color w:val="000000"/>
        </w:rPr>
        <w:t xml:space="preserve">ce exchanges, and </w:t>
      </w:r>
      <w:r w:rsidRPr="000E34BD">
        <w:rPr>
          <w:rFonts w:ascii="Courier New" w:eastAsia="Times New Roman" w:hAnsi="Courier New" w:cs="Times New Roman"/>
          <w:color w:val="000000"/>
        </w:rPr>
        <w:t xml:space="preserve">fire insurance rating </w:t>
      </w:r>
      <w:r>
        <w:rPr>
          <w:rFonts w:ascii="Courier New" w:eastAsia="Times New Roman" w:hAnsi="Courier New" w:cs="Times New Roman"/>
          <w:color w:val="000000"/>
        </w:rPr>
        <w:t xml:space="preserve">bureaus, and the regulation and </w:t>
      </w:r>
      <w:r w:rsidRPr="000E34BD">
        <w:rPr>
          <w:rFonts w:ascii="Courier New" w:eastAsia="Times New Roman" w:hAnsi="Courier New" w:cs="Times New Roman"/>
          <w:color w:val="000000"/>
        </w:rPr>
        <w:t>supervision of insur</w:t>
      </w:r>
      <w:r>
        <w:rPr>
          <w:rFonts w:ascii="Courier New" w:eastAsia="Times New Roman" w:hAnsi="Courier New" w:cs="Times New Roman"/>
          <w:color w:val="000000"/>
        </w:rPr>
        <w:t xml:space="preserve">ance carried by such companies, </w:t>
      </w:r>
      <w:r w:rsidRPr="000E34BD">
        <w:rPr>
          <w:rFonts w:ascii="Courier New" w:eastAsia="Times New Roman" w:hAnsi="Courier New" w:cs="Times New Roman"/>
          <w:color w:val="000000"/>
        </w:rPr>
        <w:t>associations, and exchanges,</w:t>
      </w:r>
      <w:r>
        <w:rPr>
          <w:rFonts w:ascii="Courier New" w:eastAsia="Times New Roman" w:hAnsi="Courier New" w:cs="Times New Roman"/>
          <w:color w:val="000000"/>
        </w:rPr>
        <w:t xml:space="preserve"> including insurance carried by </w:t>
      </w:r>
      <w:r w:rsidRPr="000E34BD">
        <w:rPr>
          <w:rFonts w:ascii="Courier New" w:eastAsia="Times New Roman" w:hAnsi="Courier New" w:cs="Times New Roman"/>
          <w:color w:val="000000"/>
        </w:rPr>
        <w:t>the State Workmen's Insurance</w:t>
      </w:r>
      <w:r>
        <w:rPr>
          <w:rFonts w:ascii="Courier New" w:eastAsia="Times New Roman" w:hAnsi="Courier New" w:cs="Times New Roman"/>
          <w:color w:val="000000"/>
        </w:rPr>
        <w:t xml:space="preserve"> Fund; providing penalties; and </w:t>
      </w:r>
      <w:r w:rsidRPr="000E34BD">
        <w:rPr>
          <w:rFonts w:ascii="Courier New" w:eastAsia="Times New Roman" w:hAnsi="Courier New" w:cs="Times New Roman"/>
          <w:color w:val="000000"/>
        </w:rPr>
        <w:t>repealing existing laws,"</w:t>
      </w:r>
      <w:r>
        <w:rPr>
          <w:rFonts w:ascii="Courier New" w:eastAsia="Times New Roman" w:hAnsi="Courier New" w:cs="Times New Roman"/>
          <w:color w:val="000000"/>
        </w:rPr>
        <w:t xml:space="preserve"> in casualty insurance, </w:t>
      </w:r>
      <w:r w:rsidR="00C0416F">
        <w:rPr>
          <w:rFonts w:ascii="Courier New" w:eastAsia="Times New Roman" w:hAnsi="Courier New" w:cs="Times New Roman"/>
          <w:color w:val="000000"/>
        </w:rPr>
        <w:t>for the regulation of health insurance practices concerning parity and nondiscrimination</w:t>
      </w:r>
      <w:r w:rsidR="0051216A">
        <w:rPr>
          <w:rFonts w:ascii="Courier New" w:eastAsia="Times New Roman" w:hAnsi="Courier New" w:cs="Times New Roman"/>
          <w:color w:val="000000"/>
        </w:rPr>
        <w:t>.</w:t>
      </w:r>
    </w:p>
    <w:p w14:paraId="11DA9D92" w14:textId="77777777" w:rsidR="00C0416F" w:rsidRDefault="00C0416F"/>
    <w:p w14:paraId="0ADBABE8" w14:textId="77777777" w:rsidR="000E34BD" w:rsidRPr="000E34BD" w:rsidRDefault="000E34BD" w:rsidP="000E34BD">
      <w:pPr>
        <w:rPr>
          <w:rFonts w:ascii="Times" w:eastAsia="Times New Roman" w:hAnsi="Times" w:cs="Times New Roman"/>
          <w:sz w:val="20"/>
          <w:szCs w:val="20"/>
        </w:rPr>
      </w:pPr>
      <w:r w:rsidRPr="000E34BD">
        <w:rPr>
          <w:rFonts w:ascii="Courier New" w:eastAsia="Times New Roman" w:hAnsi="Courier New" w:cs="Times New Roman"/>
          <w:color w:val="000000"/>
        </w:rPr>
        <w:t>The General Assembly of t</w:t>
      </w:r>
      <w:r>
        <w:rPr>
          <w:rFonts w:ascii="Courier New" w:eastAsia="Times New Roman" w:hAnsi="Courier New" w:cs="Times New Roman"/>
          <w:color w:val="000000"/>
        </w:rPr>
        <w:t xml:space="preserve">he Commonwealth of Pennsylvania </w:t>
      </w:r>
      <w:r w:rsidRPr="000E34BD">
        <w:rPr>
          <w:rFonts w:ascii="Courier New" w:eastAsia="Times New Roman" w:hAnsi="Courier New" w:cs="Times New Roman"/>
          <w:color w:val="000000"/>
        </w:rPr>
        <w:t>hereby enacts as follows:</w:t>
      </w:r>
    </w:p>
    <w:p w14:paraId="285EA0CD" w14:textId="77777777" w:rsidR="000E34BD" w:rsidRDefault="000E34BD"/>
    <w:p w14:paraId="3E0D5DD2" w14:textId="3274F0D4" w:rsidR="00D26BBD" w:rsidRDefault="00BF2ABD" w:rsidP="00D26BBD">
      <w:pPr>
        <w:ind w:firstLine="720"/>
        <w:rPr>
          <w:rFonts w:ascii="Courier New" w:eastAsia="Times New Roman" w:hAnsi="Courier New" w:cs="Times New Roman"/>
          <w:color w:val="000000"/>
        </w:rPr>
      </w:pPr>
      <w:r>
        <w:rPr>
          <w:rFonts w:ascii="Courier New" w:eastAsia="Times New Roman" w:hAnsi="Courier New" w:cs="Times New Roman"/>
          <w:color w:val="000000"/>
        </w:rPr>
        <w:t>Section 1</w:t>
      </w:r>
      <w:r w:rsidR="00D26BBD">
        <w:rPr>
          <w:rFonts w:ascii="Courier New" w:eastAsia="Times New Roman" w:hAnsi="Courier New" w:cs="Times New Roman"/>
          <w:color w:val="000000"/>
        </w:rPr>
        <w:t xml:space="preserve">. Section 606-B of the act of May 17, 1921 </w:t>
      </w:r>
      <w:r w:rsidR="00D26BBD" w:rsidRPr="000E34BD">
        <w:rPr>
          <w:rFonts w:ascii="Courier New" w:eastAsia="Times New Roman" w:hAnsi="Courier New" w:cs="Times New Roman"/>
          <w:color w:val="000000"/>
        </w:rPr>
        <w:t>(P.L.682, No.284), known as The</w:t>
      </w:r>
      <w:r w:rsidR="00D26BBD">
        <w:rPr>
          <w:rFonts w:ascii="Courier New" w:eastAsia="Times New Roman" w:hAnsi="Courier New" w:cs="Times New Roman"/>
          <w:color w:val="000000"/>
        </w:rPr>
        <w:t xml:space="preserve"> Insurance Company Law of 1921, </w:t>
      </w:r>
      <w:r w:rsidR="00D26BBD" w:rsidRPr="000E34BD">
        <w:rPr>
          <w:rFonts w:ascii="Courier New" w:eastAsia="Times New Roman" w:hAnsi="Courier New" w:cs="Times New Roman"/>
          <w:color w:val="000000"/>
        </w:rPr>
        <w:t xml:space="preserve">added </w:t>
      </w:r>
      <w:r w:rsidR="00D26BBD">
        <w:rPr>
          <w:rFonts w:ascii="Courier New" w:eastAsia="Times New Roman" w:hAnsi="Courier New" w:cs="Times New Roman"/>
          <w:color w:val="000000"/>
        </w:rPr>
        <w:t>March 22, 2010 (P.L.147, No.14</w:t>
      </w:r>
      <w:r w:rsidR="00D26BBD" w:rsidRPr="000E34BD">
        <w:rPr>
          <w:rFonts w:ascii="Courier New" w:eastAsia="Times New Roman" w:hAnsi="Courier New" w:cs="Times New Roman"/>
          <w:color w:val="000000"/>
        </w:rPr>
        <w:t>), is amended to read:</w:t>
      </w:r>
    </w:p>
    <w:p w14:paraId="7B1E3627" w14:textId="77777777" w:rsidR="00056238" w:rsidRDefault="00056238" w:rsidP="00A85E36">
      <w:pPr>
        <w:ind w:firstLine="720"/>
        <w:rPr>
          <w:rFonts w:ascii="Courier New" w:eastAsia="Times New Roman" w:hAnsi="Courier New" w:cs="Times New Roman"/>
          <w:color w:val="000000"/>
        </w:rPr>
      </w:pPr>
    </w:p>
    <w:p w14:paraId="0490571B" w14:textId="505D6817" w:rsidR="00D26BBD" w:rsidRDefault="00D26BBD" w:rsidP="00D26BBD">
      <w:pPr>
        <w:rPr>
          <w:rFonts w:ascii="Courier New" w:eastAsia="Times New Roman" w:hAnsi="Courier New" w:cs="Times New Roman"/>
          <w:color w:val="000000"/>
          <w:u w:val="single"/>
        </w:rPr>
      </w:pPr>
      <w:r>
        <w:rPr>
          <w:rFonts w:ascii="Courier New" w:eastAsia="Times New Roman" w:hAnsi="Courier New" w:cs="Times New Roman"/>
          <w:color w:val="000000"/>
        </w:rPr>
        <w:t>Section 606</w:t>
      </w:r>
      <w:r w:rsidRPr="00607867">
        <w:rPr>
          <w:rFonts w:ascii="Courier New" w:eastAsia="Times New Roman" w:hAnsi="Courier New" w:cs="Times New Roman"/>
          <w:color w:val="000000"/>
        </w:rPr>
        <w:t>-B.</w:t>
      </w:r>
      <w:r>
        <w:rPr>
          <w:rFonts w:ascii="Courier New" w:eastAsia="Times New Roman" w:hAnsi="Courier New" w:cs="Times New Roman"/>
          <w:color w:val="000000"/>
        </w:rPr>
        <w:tab/>
        <w:t>Regulations[.]</w:t>
      </w:r>
      <w:r w:rsidR="004E0929">
        <w:rPr>
          <w:rFonts w:ascii="Courier New" w:eastAsia="Times New Roman" w:hAnsi="Courier New" w:cs="Times New Roman"/>
          <w:color w:val="000000"/>
          <w:u w:val="single"/>
        </w:rPr>
        <w:t>and Regulatory I</w:t>
      </w:r>
      <w:r>
        <w:rPr>
          <w:rFonts w:ascii="Courier New" w:eastAsia="Times New Roman" w:hAnsi="Courier New" w:cs="Times New Roman"/>
          <w:color w:val="000000"/>
          <w:u w:val="single"/>
        </w:rPr>
        <w:t>mplementation.</w:t>
      </w:r>
    </w:p>
    <w:p w14:paraId="6F0BA3D8" w14:textId="6062851E" w:rsidR="00D26BBD" w:rsidRDefault="00D26BBD" w:rsidP="00D26BBD">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(a)</w:t>
      </w:r>
      <w:r w:rsidR="00F84251">
        <w:rPr>
          <w:rFonts w:ascii="Courier New" w:eastAsia="Times New Roman" w:hAnsi="Courier New" w:cs="Times New Roman"/>
          <w:color w:val="000000"/>
          <w:u w:val="single"/>
        </w:rPr>
        <w:tab/>
      </w:r>
      <w:r w:rsidRPr="00F84251">
        <w:rPr>
          <w:rFonts w:ascii="Courier New" w:eastAsia="Times New Roman" w:hAnsi="Courier New" w:cs="Times New Roman"/>
          <w:color w:val="000000"/>
        </w:rPr>
        <w:t>The department may promulgate such regulations as may be necessary or appropriate to carry out this article.</w:t>
      </w:r>
    </w:p>
    <w:p w14:paraId="5571F628" w14:textId="24571B27" w:rsidR="00D26BBD" w:rsidRDefault="00D26BBD" w:rsidP="00D26BBD">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(b)</w:t>
      </w:r>
      <w:r w:rsidR="00F84251">
        <w:rPr>
          <w:rFonts w:ascii="Courier New" w:eastAsia="Times New Roman" w:hAnsi="Courier New" w:cs="Times New Roman"/>
          <w:color w:val="000000"/>
          <w:u w:val="single"/>
        </w:rPr>
        <w:tab/>
      </w:r>
      <w:r w:rsidR="00F84251" w:rsidRPr="00F84251">
        <w:rPr>
          <w:rFonts w:ascii="Courier New" w:eastAsia="Times New Roman" w:hAnsi="Courier New" w:cs="Times New Roman"/>
          <w:color w:val="000000"/>
          <w:u w:val="single"/>
        </w:rPr>
        <w:t xml:space="preserve">The </w:t>
      </w:r>
      <w:r w:rsidR="00147160">
        <w:rPr>
          <w:rFonts w:ascii="Courier New" w:eastAsia="Times New Roman" w:hAnsi="Courier New" w:cs="Times New Roman"/>
          <w:color w:val="000000"/>
          <w:u w:val="single"/>
        </w:rPr>
        <w:t>d</w:t>
      </w:r>
      <w:r w:rsidR="00F84251">
        <w:rPr>
          <w:rFonts w:ascii="Courier New" w:eastAsia="Times New Roman" w:hAnsi="Courier New" w:cs="Times New Roman"/>
          <w:color w:val="000000"/>
          <w:u w:val="single"/>
        </w:rPr>
        <w:t>epartment</w:t>
      </w:r>
      <w:r w:rsidR="00F84251" w:rsidRPr="00F84251">
        <w:rPr>
          <w:rFonts w:ascii="Courier New" w:eastAsia="Times New Roman" w:hAnsi="Courier New" w:cs="Times New Roman"/>
          <w:color w:val="000000"/>
          <w:u w:val="single"/>
        </w:rPr>
        <w:t xml:space="preserve"> </w:t>
      </w:r>
      <w:r w:rsidR="00093DA7" w:rsidRPr="00093DA7">
        <w:rPr>
          <w:rFonts w:ascii="Courier New" w:eastAsia="Times New Roman" w:hAnsi="Courier New" w:cs="Times New Roman"/>
          <w:color w:val="000000"/>
          <w:u w:val="single"/>
        </w:rPr>
        <w:t>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w:t>
      </w:r>
      <w:r w:rsidR="00A961C1">
        <w:rPr>
          <w:rFonts w:ascii="Courier New" w:eastAsia="Times New Roman" w:hAnsi="Courier New" w:cs="Times New Roman"/>
          <w:color w:val="000000"/>
          <w:u w:val="single"/>
        </w:rPr>
        <w:t>,</w:t>
      </w:r>
      <w:r w:rsidR="00093DA7" w:rsidRPr="00093DA7">
        <w:rPr>
          <w:rFonts w:ascii="Courier New" w:eastAsia="Times New Roman" w:hAnsi="Courier New" w:cs="Times New Roman"/>
          <w:color w:val="000000"/>
          <w:u w:val="single"/>
        </w:rPr>
        <w:t xml:space="preserve"> which includes</w:t>
      </w:r>
      <w:r w:rsidR="00F84251" w:rsidRPr="00F84251">
        <w:rPr>
          <w:rFonts w:ascii="Courier New" w:eastAsia="Times New Roman" w:hAnsi="Courier New" w:cs="Times New Roman"/>
          <w:color w:val="000000"/>
          <w:u w:val="single"/>
        </w:rPr>
        <w:t>:</w:t>
      </w:r>
    </w:p>
    <w:p w14:paraId="0CEEC131" w14:textId="1C09E77A" w:rsidR="00F84251" w:rsidRPr="00F84251" w:rsidRDefault="00F84251" w:rsidP="00F84251">
      <w:pPr>
        <w:ind w:left="720"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(1)</w:t>
      </w:r>
      <w:r>
        <w:rPr>
          <w:rFonts w:ascii="Courier New" w:eastAsia="Times New Roman" w:hAnsi="Courier New" w:cs="Times New Roman"/>
          <w:color w:val="000000"/>
          <w:u w:val="single"/>
        </w:rPr>
        <w:tab/>
      </w:r>
      <w:r w:rsidRPr="00F84251">
        <w:rPr>
          <w:rFonts w:ascii="Courier New" w:eastAsia="Times New Roman" w:hAnsi="Courier New" w:cs="Times New Roman"/>
          <w:color w:val="000000"/>
          <w:u w:val="single"/>
        </w:rPr>
        <w:t xml:space="preserve">Ensuring compliance by </w:t>
      </w:r>
      <w:r w:rsidR="00671BCD">
        <w:rPr>
          <w:rFonts w:ascii="Courier New" w:eastAsia="Times New Roman" w:hAnsi="Courier New" w:cs="Times New Roman"/>
          <w:color w:val="000000"/>
          <w:u w:val="single"/>
        </w:rPr>
        <w:t>insurers.</w:t>
      </w:r>
    </w:p>
    <w:p w14:paraId="3E762A4D" w14:textId="40E30D1A" w:rsidR="00F84251" w:rsidRPr="00F84251" w:rsidRDefault="00F84251" w:rsidP="00F84251">
      <w:pPr>
        <w:ind w:left="720"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(2)</w:t>
      </w:r>
      <w:r>
        <w:rPr>
          <w:rFonts w:ascii="Courier New" w:eastAsia="Times New Roman" w:hAnsi="Courier New" w:cs="Times New Roman"/>
          <w:color w:val="000000"/>
          <w:u w:val="single"/>
        </w:rPr>
        <w:tab/>
      </w:r>
      <w:r w:rsidR="00671BCD" w:rsidRPr="00671BCD">
        <w:rPr>
          <w:rFonts w:ascii="Courier New" w:eastAsia="Times New Roman" w:hAnsi="Courier New" w:cs="Times New Roman"/>
          <w:color w:val="000000"/>
          <w:u w:val="single"/>
        </w:rPr>
        <w:t xml:space="preserve">Evaluating all consumer or provider complaints regarding mental health and </w:t>
      </w:r>
      <w:r w:rsidR="00004B48" w:rsidRPr="00C21EC0">
        <w:rPr>
          <w:rFonts w:ascii="Courier New" w:eastAsia="Times New Roman" w:hAnsi="Courier New" w:cs="Times New Roman"/>
          <w:color w:val="000000"/>
          <w:u w:val="single"/>
        </w:rPr>
        <w:t>alcohol or other drug abuse and dependency</w:t>
      </w:r>
      <w:r w:rsidR="00004B48" w:rsidRPr="00436423">
        <w:rPr>
          <w:rFonts w:ascii="Courier New" w:eastAsia="Times New Roman" w:hAnsi="Courier New" w:cs="Times New Roman"/>
          <w:i/>
          <w:color w:val="000000"/>
          <w:u w:val="single"/>
        </w:rPr>
        <w:t xml:space="preserve"> </w:t>
      </w:r>
      <w:r w:rsidR="00671BCD" w:rsidRPr="00671BCD">
        <w:rPr>
          <w:rFonts w:ascii="Courier New" w:eastAsia="Times New Roman" w:hAnsi="Courier New" w:cs="Times New Roman"/>
          <w:color w:val="000000"/>
          <w:u w:val="single"/>
        </w:rPr>
        <w:t>coverage</w:t>
      </w:r>
      <w:r w:rsidR="00A961C1">
        <w:rPr>
          <w:rFonts w:ascii="Courier New" w:eastAsia="Times New Roman" w:hAnsi="Courier New" w:cs="Times New Roman"/>
          <w:color w:val="000000"/>
          <w:u w:val="single"/>
        </w:rPr>
        <w:t xml:space="preserve"> for possible parity violations</w:t>
      </w:r>
      <w:r w:rsidR="00E45469">
        <w:rPr>
          <w:rFonts w:ascii="Courier New" w:eastAsia="Times New Roman" w:hAnsi="Courier New" w:cs="Times New Roman"/>
          <w:color w:val="000000"/>
          <w:u w:val="single"/>
        </w:rPr>
        <w:t>.</w:t>
      </w:r>
    </w:p>
    <w:p w14:paraId="564199F9" w14:textId="0F22D4E1" w:rsidR="00F84251" w:rsidRPr="00F84251" w:rsidRDefault="00F84251" w:rsidP="00F84251">
      <w:pPr>
        <w:ind w:left="720"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(3)</w:t>
      </w:r>
      <w:r>
        <w:rPr>
          <w:rFonts w:ascii="Courier New" w:eastAsia="Times New Roman" w:hAnsi="Courier New" w:cs="Times New Roman"/>
          <w:color w:val="000000"/>
          <w:u w:val="single"/>
        </w:rPr>
        <w:tab/>
      </w:r>
      <w:r w:rsidR="00A961C1" w:rsidRPr="00A961C1">
        <w:rPr>
          <w:rFonts w:ascii="Courier New" w:eastAsia="Times New Roman" w:hAnsi="Courier New" w:cs="Times New Roman"/>
          <w:color w:val="000000"/>
          <w:u w:val="single"/>
        </w:rPr>
        <w:t>Performing parity compliance market conduct examinations of insurers,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r w:rsidR="00E45469">
        <w:rPr>
          <w:rFonts w:ascii="Courier New" w:eastAsia="Times New Roman" w:hAnsi="Courier New" w:cs="Times New Roman"/>
          <w:color w:val="000000"/>
          <w:u w:val="single"/>
        </w:rPr>
        <w:t>.</w:t>
      </w:r>
    </w:p>
    <w:p w14:paraId="2DBCC2AB" w14:textId="3154467B" w:rsidR="00F84251" w:rsidRPr="00F84251" w:rsidRDefault="00F84251" w:rsidP="00F84251">
      <w:pPr>
        <w:ind w:left="720"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lastRenderedPageBreak/>
        <w:t>(4)</w:t>
      </w:r>
      <w:r>
        <w:rPr>
          <w:rFonts w:ascii="Courier New" w:eastAsia="Times New Roman" w:hAnsi="Courier New" w:cs="Times New Roman"/>
          <w:color w:val="000000"/>
          <w:u w:val="single"/>
        </w:rPr>
        <w:tab/>
      </w:r>
      <w:r w:rsidR="001B4644" w:rsidRPr="001B4644">
        <w:rPr>
          <w:rFonts w:ascii="Courier New" w:eastAsia="Times New Roman" w:hAnsi="Courier New" w:cs="Times New Roman"/>
          <w:color w:val="000000"/>
          <w:u w:val="single"/>
        </w:rPr>
        <w:t xml:space="preserve">Requesting that insurers submit comparative analyses during the form review process demonstrating how they design and apply nonquantitative treatment limitations, both as written and in operation, for mental health and </w:t>
      </w:r>
      <w:r w:rsidR="00004B48" w:rsidRPr="00C21EC0">
        <w:rPr>
          <w:rFonts w:ascii="Courier New" w:eastAsia="Times New Roman" w:hAnsi="Courier New" w:cs="Times New Roman"/>
          <w:color w:val="000000"/>
          <w:u w:val="single"/>
        </w:rPr>
        <w:t>alcohol or other drug abuse and dependency</w:t>
      </w:r>
      <w:r w:rsidR="00004B48" w:rsidRPr="00436423">
        <w:rPr>
          <w:rFonts w:ascii="Courier New" w:eastAsia="Times New Roman" w:hAnsi="Courier New" w:cs="Times New Roman"/>
          <w:i/>
          <w:color w:val="000000"/>
          <w:u w:val="single"/>
        </w:rPr>
        <w:t xml:space="preserve"> </w:t>
      </w:r>
      <w:r w:rsidR="001B4644" w:rsidRPr="001B4644">
        <w:rPr>
          <w:rFonts w:ascii="Courier New" w:eastAsia="Times New Roman" w:hAnsi="Courier New" w:cs="Times New Roman"/>
          <w:color w:val="000000"/>
          <w:u w:val="single"/>
        </w:rPr>
        <w:t>benefits as compared to how they design and apply nonquantitative treatment limitations, as written and in operation, for medical and surgical benefits</w:t>
      </w:r>
      <w:r w:rsidR="00E45469">
        <w:rPr>
          <w:rFonts w:ascii="Courier New" w:eastAsia="Times New Roman" w:hAnsi="Courier New" w:cs="Times New Roman"/>
          <w:color w:val="000000"/>
          <w:u w:val="single"/>
        </w:rPr>
        <w:t>.</w:t>
      </w:r>
    </w:p>
    <w:p w14:paraId="3B89E010" w14:textId="6BF34350" w:rsidR="00304A0F" w:rsidRDefault="00304A0F" w:rsidP="00304A0F">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t>(c)</w:t>
      </w:r>
      <w:r>
        <w:rPr>
          <w:rFonts w:ascii="Courier New" w:eastAsia="Times New Roman" w:hAnsi="Courier New" w:cs="Times New Roman"/>
          <w:color w:val="000000"/>
          <w:u w:val="single"/>
        </w:rPr>
        <w:tab/>
      </w:r>
      <w:r w:rsidR="00BE70AF" w:rsidRPr="00BE70AF">
        <w:rPr>
          <w:rFonts w:ascii="Courier New" w:eastAsia="Times New Roman" w:hAnsi="Courier New" w:cs="Times New Roman"/>
          <w:color w:val="000000"/>
          <w:u w:val="single"/>
        </w:rPr>
        <w:t xml:space="preserve">Not later than </w:t>
      </w:r>
      <w:r w:rsidR="00BE70AF">
        <w:rPr>
          <w:rFonts w:ascii="Courier New" w:eastAsia="Times New Roman" w:hAnsi="Courier New" w:cs="Times New Roman"/>
          <w:color w:val="000000"/>
          <w:u w:val="single"/>
        </w:rPr>
        <w:t>6/30</w:t>
      </w:r>
      <w:r w:rsidR="00BE70AF" w:rsidRPr="00BE70AF">
        <w:rPr>
          <w:rFonts w:ascii="Courier New" w:eastAsia="Times New Roman" w:hAnsi="Courier New" w:cs="Times New Roman"/>
          <w:i/>
          <w:color w:val="000000"/>
          <w:u w:val="single"/>
        </w:rPr>
        <w:t xml:space="preserve"> </w:t>
      </w:r>
      <w:r w:rsidR="00BE70AF" w:rsidRPr="00BE70AF">
        <w:rPr>
          <w:rFonts w:ascii="Courier New" w:eastAsia="Times New Roman" w:hAnsi="Courier New" w:cs="Times New Roman"/>
          <w:color w:val="000000"/>
          <w:u w:val="single"/>
        </w:rPr>
        <w:t xml:space="preserve">of each year, the </w:t>
      </w:r>
      <w:r w:rsidR="0003708C">
        <w:rPr>
          <w:rFonts w:ascii="Courier New" w:eastAsia="Times New Roman" w:hAnsi="Courier New" w:cs="Times New Roman"/>
          <w:color w:val="000000"/>
          <w:u w:val="single"/>
        </w:rPr>
        <w:t>d</w:t>
      </w:r>
      <w:r w:rsidR="00ED1618">
        <w:rPr>
          <w:rFonts w:ascii="Courier New" w:eastAsia="Times New Roman" w:hAnsi="Courier New" w:cs="Times New Roman"/>
          <w:color w:val="000000"/>
          <w:u w:val="single"/>
        </w:rPr>
        <w:t xml:space="preserve">epartment </w:t>
      </w:r>
      <w:r w:rsidR="00BE70AF" w:rsidRPr="00BE70AF">
        <w:rPr>
          <w:rFonts w:ascii="Courier New" w:eastAsia="Times New Roman" w:hAnsi="Courier New" w:cs="Times New Roman"/>
          <w:color w:val="000000"/>
          <w:u w:val="single"/>
        </w:rPr>
        <w:t xml:space="preserve">shall issue a report to </w:t>
      </w:r>
      <w:r w:rsidR="00ED1618">
        <w:rPr>
          <w:rFonts w:ascii="Courier New" w:eastAsia="Times New Roman" w:hAnsi="Courier New" w:cs="Times New Roman"/>
          <w:color w:val="000000"/>
          <w:u w:val="single"/>
        </w:rPr>
        <w:t xml:space="preserve">the General Assembly </w:t>
      </w:r>
      <w:r w:rsidR="00BE70AF" w:rsidRPr="00BE70AF">
        <w:rPr>
          <w:rFonts w:ascii="Courier New" w:eastAsia="Times New Roman" w:hAnsi="Courier New" w:cs="Times New Roman"/>
          <w:color w:val="000000"/>
          <w:u w:val="single"/>
        </w:rPr>
        <w:t xml:space="preserve">and provide an educational presentation to </w:t>
      </w:r>
      <w:r w:rsidR="00ED1618">
        <w:rPr>
          <w:rFonts w:ascii="Courier New" w:eastAsia="Times New Roman" w:hAnsi="Courier New" w:cs="Times New Roman"/>
          <w:color w:val="000000"/>
          <w:u w:val="single"/>
        </w:rPr>
        <w:t xml:space="preserve">the General Assembly. </w:t>
      </w:r>
      <w:r w:rsidR="00BE70AF" w:rsidRPr="00BE70AF">
        <w:rPr>
          <w:rFonts w:ascii="Courier New" w:eastAsia="Times New Roman" w:hAnsi="Courier New" w:cs="Times New Roman"/>
          <w:color w:val="000000"/>
          <w:u w:val="single"/>
        </w:rPr>
        <w:t>Such report and presentation shall:</w:t>
      </w:r>
    </w:p>
    <w:p w14:paraId="65944690" w14:textId="2751D6EA" w:rsidR="00BE70AF" w:rsidRDefault="00BE70AF" w:rsidP="00BE70AF">
      <w:pPr>
        <w:ind w:left="720"/>
        <w:rPr>
          <w:rFonts w:ascii="Courier New" w:eastAsia="Times New Roman" w:hAnsi="Courier New" w:cs="Times New Roman"/>
          <w:color w:val="000000"/>
          <w:u w:val="single"/>
        </w:rPr>
      </w:pPr>
      <w:r>
        <w:rPr>
          <w:rFonts w:ascii="Courier New" w:eastAsia="Times New Roman" w:hAnsi="Courier New" w:cs="Times New Roman"/>
          <w:color w:val="000000"/>
          <w:u w:val="single"/>
        </w:rPr>
        <w:tab/>
        <w:t>(1)</w:t>
      </w:r>
      <w:r>
        <w:rPr>
          <w:rFonts w:ascii="Courier New" w:eastAsia="Times New Roman" w:hAnsi="Courier New" w:cs="Times New Roman"/>
          <w:color w:val="000000"/>
          <w:u w:val="single"/>
        </w:rPr>
        <w:tab/>
      </w:r>
      <w:r w:rsidR="00BD1EC9" w:rsidRPr="00BD1EC9">
        <w:rPr>
          <w:rFonts w:ascii="Courier New" w:eastAsia="Times New Roman" w:hAnsi="Courier New" w:cs="Times New Roman"/>
          <w:color w:val="000000"/>
          <w:u w:val="single"/>
        </w:rPr>
        <w:t xml:space="preserve">Cover the methodology the </w:t>
      </w:r>
      <w:r w:rsidR="003A05D9">
        <w:rPr>
          <w:rFonts w:ascii="Courier New" w:eastAsia="Times New Roman" w:hAnsi="Courier New" w:cs="Times New Roman"/>
          <w:color w:val="000000"/>
          <w:u w:val="single"/>
        </w:rPr>
        <w:t>department</w:t>
      </w:r>
      <w:r w:rsidR="00BD1EC9" w:rsidRPr="00BD1EC9">
        <w:rPr>
          <w:rFonts w:ascii="Courier New" w:eastAsia="Times New Roman" w:hAnsi="Courier New" w:cs="Times New Roman"/>
          <w:color w:val="000000"/>
          <w:u w:val="single"/>
        </w:rPr>
        <w:t xml:space="preserve"> is using to check for compliance with the federal Paul Wellstone and Pete Domenici Mental Health Parity and Addiction Equity Act of 2008 (MHPAEA), and any federal regulations or guidance relating to the compliance and oversight of MHPAEA</w:t>
      </w:r>
      <w:r w:rsidRPr="00BE70AF">
        <w:rPr>
          <w:rFonts w:ascii="Courier New" w:eastAsia="Times New Roman" w:hAnsi="Courier New" w:cs="Times New Roman"/>
          <w:color w:val="000000"/>
          <w:u w:val="single"/>
        </w:rPr>
        <w:t>.</w:t>
      </w:r>
    </w:p>
    <w:p w14:paraId="274DC86E" w14:textId="589ABF70" w:rsidR="00BE70AF" w:rsidRPr="006B7379" w:rsidRDefault="00BE70AF" w:rsidP="006B7379">
      <w:pPr>
        <w:ind w:left="720"/>
        <w:rPr>
          <w:rFonts w:ascii="Courier New" w:eastAsia="Times New Roman" w:hAnsi="Courier New" w:cs="Times New Roman"/>
          <w:i/>
          <w:color w:val="FF0000"/>
          <w:u w:val="single"/>
        </w:rPr>
      </w:pPr>
      <w:r>
        <w:rPr>
          <w:rFonts w:ascii="Courier New" w:eastAsia="Times New Roman" w:hAnsi="Courier New" w:cs="Times New Roman"/>
          <w:color w:val="000000"/>
          <w:u w:val="single"/>
        </w:rPr>
        <w:tab/>
        <w:t>(2)</w:t>
      </w:r>
      <w:r>
        <w:rPr>
          <w:rFonts w:ascii="Courier New" w:eastAsia="Times New Roman" w:hAnsi="Courier New" w:cs="Times New Roman"/>
          <w:color w:val="000000"/>
          <w:u w:val="single"/>
        </w:rPr>
        <w:tab/>
      </w:r>
      <w:r w:rsidRPr="00BE70AF">
        <w:rPr>
          <w:rFonts w:ascii="Courier New" w:eastAsia="Times New Roman" w:hAnsi="Courier New" w:cs="Times New Roman"/>
          <w:color w:val="000000"/>
          <w:u w:val="single"/>
        </w:rPr>
        <w:t xml:space="preserve">Cover the methodology the </w:t>
      </w:r>
      <w:r w:rsidR="00AD69F7">
        <w:rPr>
          <w:rFonts w:ascii="Courier New" w:eastAsia="Times New Roman" w:hAnsi="Courier New" w:cs="Times New Roman"/>
          <w:color w:val="000000"/>
          <w:u w:val="single"/>
        </w:rPr>
        <w:t>d</w:t>
      </w:r>
      <w:r w:rsidR="00ED1618">
        <w:rPr>
          <w:rFonts w:ascii="Courier New" w:eastAsia="Times New Roman" w:hAnsi="Courier New" w:cs="Times New Roman"/>
          <w:color w:val="000000"/>
          <w:u w:val="single"/>
        </w:rPr>
        <w:t>epartment</w:t>
      </w:r>
      <w:r w:rsidRPr="00BE70AF">
        <w:rPr>
          <w:rFonts w:ascii="Courier New" w:eastAsia="Times New Roman" w:hAnsi="Courier New" w:cs="Times New Roman"/>
          <w:color w:val="000000"/>
          <w:u w:val="single"/>
        </w:rPr>
        <w:t xml:space="preserve"> is using to check for compliance with </w:t>
      </w:r>
      <w:r w:rsidR="006B7379" w:rsidRPr="006B7379">
        <w:rPr>
          <w:rFonts w:ascii="Courier New" w:eastAsia="Times New Roman" w:hAnsi="Courier New" w:cs="Times New Roman"/>
          <w:u w:val="single"/>
        </w:rPr>
        <w:t>sections 601-A, 602-A, 603-A,</w:t>
      </w:r>
      <w:r w:rsidR="00147160">
        <w:rPr>
          <w:rFonts w:ascii="Courier New" w:eastAsia="Times New Roman" w:hAnsi="Courier New" w:cs="Times New Roman"/>
          <w:u w:val="single"/>
        </w:rPr>
        <w:t xml:space="preserve"> 604-A, 605-A, 606-A, 607-A,</w:t>
      </w:r>
      <w:r w:rsidR="006B7379" w:rsidRPr="006B7379">
        <w:rPr>
          <w:rFonts w:ascii="Courier New" w:eastAsia="Times New Roman" w:hAnsi="Courier New" w:cs="Times New Roman"/>
          <w:u w:val="single"/>
        </w:rPr>
        <w:t xml:space="preserve"> 608-A</w:t>
      </w:r>
      <w:r w:rsidR="00147160">
        <w:rPr>
          <w:rFonts w:ascii="Courier New" w:eastAsia="Times New Roman" w:hAnsi="Courier New" w:cs="Times New Roman"/>
          <w:u w:val="single"/>
        </w:rPr>
        <w:t>, and 635.1</w:t>
      </w:r>
      <w:r w:rsidR="006B7379" w:rsidRPr="006B7379">
        <w:rPr>
          <w:rFonts w:ascii="Courier New" w:eastAsia="Times New Roman" w:hAnsi="Courier New" w:cs="Times New Roman"/>
          <w:u w:val="single"/>
        </w:rPr>
        <w:t xml:space="preserve"> of P.L.682, No.284.</w:t>
      </w:r>
    </w:p>
    <w:p w14:paraId="199FEDCE" w14:textId="54A6ED95" w:rsidR="00BE70AF" w:rsidRPr="00BE70AF" w:rsidRDefault="00BE70AF" w:rsidP="00BE70AF">
      <w:pPr>
        <w:ind w:left="720"/>
        <w:rPr>
          <w:rFonts w:ascii="Courier New" w:eastAsia="Times New Roman" w:hAnsi="Courier New" w:cs="Times New Roman"/>
          <w:color w:val="000000"/>
          <w:u w:val="single"/>
        </w:rPr>
      </w:pPr>
      <w:r>
        <w:rPr>
          <w:rFonts w:ascii="Courier New" w:eastAsia="Times New Roman" w:hAnsi="Courier New" w:cs="Times New Roman"/>
          <w:color w:val="000000"/>
          <w:u w:val="single"/>
        </w:rPr>
        <w:tab/>
        <w:t>(3)</w:t>
      </w:r>
      <w:r>
        <w:rPr>
          <w:rFonts w:ascii="Courier New" w:eastAsia="Times New Roman" w:hAnsi="Courier New" w:cs="Times New Roman"/>
          <w:color w:val="000000"/>
          <w:u w:val="single"/>
        </w:rPr>
        <w:tab/>
      </w:r>
      <w:r w:rsidRPr="00BE70AF">
        <w:rPr>
          <w:rFonts w:ascii="Courier New" w:eastAsia="Times New Roman" w:hAnsi="Courier New" w:cs="Times New Roman"/>
          <w:color w:val="000000"/>
          <w:u w:val="single"/>
        </w:rPr>
        <w:t xml:space="preserve">Identify </w:t>
      </w:r>
      <w:r w:rsidRPr="00ED1618">
        <w:rPr>
          <w:rFonts w:ascii="Courier New" w:eastAsia="Times New Roman" w:hAnsi="Courier New" w:cs="Times New Roman"/>
          <w:color w:val="000000"/>
          <w:u w:val="single"/>
        </w:rPr>
        <w:t>market conduct examinations</w:t>
      </w:r>
      <w:r w:rsidRPr="00BE70AF">
        <w:rPr>
          <w:rFonts w:ascii="Courier New" w:eastAsia="Times New Roman" w:hAnsi="Courier New" w:cs="Times New Roman"/>
          <w:color w:val="000000"/>
          <w:u w:val="single"/>
        </w:rPr>
        <w:t xml:space="preserve"> conducted or completed during the preceding 12-month period regarding compliance with parity in </w:t>
      </w:r>
      <w:r w:rsidRPr="00D8220C">
        <w:rPr>
          <w:rFonts w:ascii="Courier New" w:eastAsia="Times New Roman" w:hAnsi="Courier New" w:cs="Times New Roman"/>
          <w:color w:val="000000"/>
          <w:u w:val="single"/>
        </w:rPr>
        <w:t xml:space="preserve">mental health and </w:t>
      </w:r>
      <w:r w:rsidR="00D8220C" w:rsidRPr="00D8220C">
        <w:rPr>
          <w:rFonts w:ascii="Courier New" w:eastAsia="Times New Roman" w:hAnsi="Courier New" w:cs="Times New Roman"/>
          <w:color w:val="000000"/>
          <w:u w:val="single"/>
        </w:rPr>
        <w:t>alcohol or other drug abuse and dependency</w:t>
      </w:r>
      <w:r w:rsidR="00D8220C" w:rsidRPr="00D8220C">
        <w:rPr>
          <w:rFonts w:ascii="Courier New" w:eastAsia="Times New Roman" w:hAnsi="Courier New" w:cs="Times New Roman"/>
          <w:i/>
          <w:color w:val="000000"/>
          <w:u w:val="single"/>
        </w:rPr>
        <w:t xml:space="preserve"> </w:t>
      </w:r>
      <w:r w:rsidRPr="00BE70AF">
        <w:rPr>
          <w:rFonts w:ascii="Courier New" w:eastAsia="Times New Roman" w:hAnsi="Courier New" w:cs="Times New Roman"/>
          <w:color w:val="000000"/>
          <w:u w:val="single"/>
        </w:rPr>
        <w:t xml:space="preserve">benefits under state and federal laws and summarize the results of such market conduct examinations. </w:t>
      </w:r>
    </w:p>
    <w:p w14:paraId="26B8B6B6" w14:textId="097A2F49" w:rsidR="00461C23" w:rsidRPr="00461C23" w:rsidRDefault="00461C23" w:rsidP="00461C23">
      <w:pPr>
        <w:rPr>
          <w:rFonts w:ascii="Courier New" w:eastAsia="Times New Roman" w:hAnsi="Courier New" w:cs="Times New Roman"/>
          <w:color w:val="000000"/>
          <w:u w:val="single"/>
        </w:rPr>
      </w:pPr>
      <w:r>
        <w:rPr>
          <w:rFonts w:ascii="Courier New" w:eastAsia="Times New Roman" w:hAnsi="Courier New" w:cs="Times New Roman"/>
          <w:color w:val="000000"/>
          <w:u w:val="single"/>
        </w:rPr>
        <w:tab/>
      </w:r>
      <w:r>
        <w:rPr>
          <w:rFonts w:ascii="Courier New" w:eastAsia="Times New Roman" w:hAnsi="Courier New" w:cs="Times New Roman"/>
          <w:color w:val="000000"/>
          <w:u w:val="single"/>
        </w:rPr>
        <w:tab/>
        <w:t>(4)</w:t>
      </w:r>
      <w:r>
        <w:rPr>
          <w:rFonts w:ascii="Courier New" w:eastAsia="Times New Roman" w:hAnsi="Courier New" w:cs="Times New Roman"/>
          <w:color w:val="000000"/>
          <w:u w:val="single"/>
        </w:rPr>
        <w:tab/>
      </w:r>
      <w:r w:rsidRPr="00461C23">
        <w:rPr>
          <w:rFonts w:ascii="Courier New" w:eastAsia="Times New Roman" w:hAnsi="Courier New" w:cs="Times New Roman"/>
          <w:color w:val="000000"/>
          <w:u w:val="single"/>
        </w:rPr>
        <w:t xml:space="preserve">Detail any educational or corrective actions the </w:t>
      </w:r>
      <w:r w:rsidR="00AE2A65">
        <w:rPr>
          <w:rFonts w:ascii="Courier New" w:eastAsia="Times New Roman" w:hAnsi="Courier New" w:cs="Times New Roman"/>
          <w:color w:val="000000"/>
          <w:u w:val="single"/>
        </w:rPr>
        <w:t>department</w:t>
      </w:r>
      <w:r w:rsidRPr="00461C23">
        <w:rPr>
          <w:rFonts w:ascii="Courier New" w:eastAsia="Times New Roman" w:hAnsi="Courier New" w:cs="Times New Roman"/>
          <w:color w:val="000000"/>
          <w:u w:val="single"/>
        </w:rPr>
        <w:t xml:space="preserve"> has taken to </w:t>
      </w:r>
      <w:r w:rsidR="003C3683">
        <w:rPr>
          <w:rFonts w:ascii="Courier New" w:eastAsia="Times New Roman" w:hAnsi="Courier New" w:cs="Times New Roman"/>
          <w:color w:val="000000"/>
          <w:u w:val="single"/>
        </w:rPr>
        <w:t>secure</w:t>
      </w:r>
      <w:r w:rsidRPr="00461C23">
        <w:rPr>
          <w:rFonts w:ascii="Courier New" w:eastAsia="Times New Roman" w:hAnsi="Courier New" w:cs="Times New Roman"/>
          <w:color w:val="000000"/>
          <w:u w:val="single"/>
        </w:rPr>
        <w:t xml:space="preserve"> </w:t>
      </w:r>
      <w:r w:rsidR="002E61EB">
        <w:rPr>
          <w:rFonts w:ascii="Courier New" w:eastAsia="Times New Roman" w:hAnsi="Courier New" w:cs="Times New Roman"/>
          <w:color w:val="000000"/>
          <w:u w:val="single"/>
        </w:rPr>
        <w:t>insurer</w:t>
      </w:r>
      <w:r w:rsidR="00BD1EC9">
        <w:rPr>
          <w:rFonts w:ascii="Courier New" w:eastAsia="Times New Roman" w:hAnsi="Courier New" w:cs="Times New Roman"/>
          <w:color w:val="000000"/>
          <w:u w:val="single"/>
        </w:rPr>
        <w:t xml:space="preserve"> compliance with MHPAEA </w:t>
      </w:r>
      <w:r w:rsidRPr="00461C23">
        <w:rPr>
          <w:rFonts w:ascii="Courier New" w:eastAsia="Times New Roman" w:hAnsi="Courier New" w:cs="Times New Roman"/>
          <w:color w:val="000000"/>
          <w:u w:val="single"/>
        </w:rPr>
        <w:t xml:space="preserve">and </w:t>
      </w:r>
      <w:r w:rsidR="006B7379" w:rsidRPr="006B7379">
        <w:rPr>
          <w:rFonts w:ascii="Courier New" w:eastAsia="Times New Roman" w:hAnsi="Courier New" w:cs="Times New Roman"/>
          <w:u w:val="single"/>
        </w:rPr>
        <w:t>sections 601-A, 602-A, 603-A,</w:t>
      </w:r>
      <w:r w:rsidR="00155BE0">
        <w:rPr>
          <w:rFonts w:ascii="Courier New" w:eastAsia="Times New Roman" w:hAnsi="Courier New" w:cs="Times New Roman"/>
          <w:u w:val="single"/>
        </w:rPr>
        <w:t xml:space="preserve"> 604-A, 605-A, 606-A, 607-A,</w:t>
      </w:r>
      <w:r w:rsidR="006B7379" w:rsidRPr="006B7379">
        <w:rPr>
          <w:rFonts w:ascii="Courier New" w:eastAsia="Times New Roman" w:hAnsi="Courier New" w:cs="Times New Roman"/>
          <w:u w:val="single"/>
        </w:rPr>
        <w:t xml:space="preserve"> 608-A</w:t>
      </w:r>
      <w:r w:rsidR="00155BE0">
        <w:rPr>
          <w:rFonts w:ascii="Courier New" w:eastAsia="Times New Roman" w:hAnsi="Courier New" w:cs="Times New Roman"/>
          <w:u w:val="single"/>
        </w:rPr>
        <w:t>, and 635.1</w:t>
      </w:r>
      <w:r w:rsidR="006B7379" w:rsidRPr="006B7379">
        <w:rPr>
          <w:rFonts w:ascii="Courier New" w:eastAsia="Times New Roman" w:hAnsi="Courier New" w:cs="Times New Roman"/>
          <w:u w:val="single"/>
        </w:rPr>
        <w:t xml:space="preserve"> of P.L.682, No.284.</w:t>
      </w:r>
    </w:p>
    <w:p w14:paraId="79319ACC" w14:textId="3A60E9BF" w:rsidR="00461C23" w:rsidRPr="00461C23" w:rsidRDefault="00616794" w:rsidP="00461C23">
      <w:pPr>
        <w:ind w:left="720"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 xml:space="preserve"> (5</w:t>
      </w:r>
      <w:r w:rsidR="00461C23">
        <w:rPr>
          <w:rFonts w:ascii="Courier New" w:eastAsia="Times New Roman" w:hAnsi="Courier New" w:cs="Times New Roman"/>
          <w:color w:val="000000"/>
          <w:u w:val="single"/>
        </w:rPr>
        <w:t>)</w:t>
      </w:r>
      <w:r w:rsidR="00461C23">
        <w:rPr>
          <w:rFonts w:ascii="Courier New" w:eastAsia="Times New Roman" w:hAnsi="Courier New" w:cs="Times New Roman"/>
          <w:color w:val="000000"/>
          <w:u w:val="single"/>
        </w:rPr>
        <w:tab/>
      </w:r>
      <w:r w:rsidR="00461C23" w:rsidRPr="00461C23">
        <w:rPr>
          <w:rFonts w:ascii="Courier New" w:eastAsia="Times New Roman" w:hAnsi="Courier New" w:cs="Times New Roman"/>
          <w:color w:val="000000"/>
          <w:u w:val="single"/>
        </w:rPr>
        <w:t xml:space="preserve">The report must be written in non-technical, readily understandable language and shall be made available to the public by, among such other means as the </w:t>
      </w:r>
      <w:r w:rsidR="0003708C">
        <w:rPr>
          <w:rFonts w:ascii="Courier New" w:eastAsia="Times New Roman" w:hAnsi="Courier New" w:cs="Times New Roman"/>
          <w:color w:val="000000"/>
          <w:u w:val="single"/>
        </w:rPr>
        <w:t>d</w:t>
      </w:r>
      <w:r w:rsidR="00E45469">
        <w:rPr>
          <w:rFonts w:ascii="Courier New" w:eastAsia="Times New Roman" w:hAnsi="Courier New" w:cs="Times New Roman"/>
          <w:color w:val="000000"/>
          <w:u w:val="single"/>
        </w:rPr>
        <w:t>epartment</w:t>
      </w:r>
      <w:r w:rsidR="00461C23" w:rsidRPr="00461C23">
        <w:rPr>
          <w:rFonts w:ascii="Courier New" w:eastAsia="Times New Roman" w:hAnsi="Courier New" w:cs="Times New Roman"/>
          <w:color w:val="000000"/>
          <w:u w:val="single"/>
        </w:rPr>
        <w:t xml:space="preserve"> finds appropriate, posting the report on the </w:t>
      </w:r>
      <w:r w:rsidR="0003708C">
        <w:rPr>
          <w:rFonts w:ascii="Courier New" w:eastAsia="Times New Roman" w:hAnsi="Courier New" w:cs="Times New Roman"/>
          <w:color w:val="000000"/>
          <w:u w:val="single"/>
        </w:rPr>
        <w:t>d</w:t>
      </w:r>
      <w:r w:rsidR="00E45469">
        <w:rPr>
          <w:rFonts w:ascii="Courier New" w:eastAsia="Times New Roman" w:hAnsi="Courier New" w:cs="Times New Roman"/>
          <w:color w:val="000000"/>
          <w:u w:val="single"/>
        </w:rPr>
        <w:t>epartment’s</w:t>
      </w:r>
      <w:r w:rsidR="00461C23" w:rsidRPr="00461C23">
        <w:rPr>
          <w:rFonts w:ascii="Courier New" w:eastAsia="Times New Roman" w:hAnsi="Courier New" w:cs="Times New Roman"/>
          <w:color w:val="000000"/>
          <w:u w:val="single"/>
        </w:rPr>
        <w:t xml:space="preserve"> </w:t>
      </w:r>
      <w:r>
        <w:rPr>
          <w:rFonts w:ascii="Courier New" w:eastAsia="Times New Roman" w:hAnsi="Courier New" w:cs="Times New Roman"/>
          <w:color w:val="000000"/>
          <w:u w:val="single"/>
        </w:rPr>
        <w:t xml:space="preserve">Internet </w:t>
      </w:r>
      <w:r w:rsidR="00461C23" w:rsidRPr="00461C23">
        <w:rPr>
          <w:rFonts w:ascii="Courier New" w:eastAsia="Times New Roman" w:hAnsi="Courier New" w:cs="Times New Roman"/>
          <w:color w:val="000000"/>
          <w:u w:val="single"/>
        </w:rPr>
        <w:t>website</w:t>
      </w:r>
      <w:r w:rsidR="00E45469">
        <w:rPr>
          <w:rFonts w:ascii="Courier New" w:eastAsia="Times New Roman" w:hAnsi="Courier New" w:cs="Times New Roman"/>
          <w:color w:val="000000"/>
          <w:u w:val="single"/>
        </w:rPr>
        <w:t>.</w:t>
      </w:r>
    </w:p>
    <w:p w14:paraId="4B240FF2" w14:textId="77777777" w:rsidR="0035281F" w:rsidRDefault="0035281F" w:rsidP="00CB128E">
      <w:pPr>
        <w:rPr>
          <w:rFonts w:ascii="Courier New" w:eastAsia="Times New Roman" w:hAnsi="Courier New" w:cs="Times New Roman"/>
          <w:color w:val="000000"/>
        </w:rPr>
      </w:pPr>
    </w:p>
    <w:p w14:paraId="50A961EC" w14:textId="286704EE" w:rsidR="00AB7D81" w:rsidRPr="00436423" w:rsidRDefault="00E65299" w:rsidP="00B435FD">
      <w:pPr>
        <w:ind w:firstLine="720"/>
        <w:rPr>
          <w:rFonts w:ascii="Courier New" w:eastAsia="Times New Roman" w:hAnsi="Courier New" w:cs="Times New Roman"/>
          <w:color w:val="000000"/>
          <w:u w:val="single"/>
        </w:rPr>
      </w:pPr>
      <w:r>
        <w:rPr>
          <w:rFonts w:ascii="Courier New" w:eastAsia="Times New Roman" w:hAnsi="Courier New" w:cs="Times New Roman"/>
          <w:color w:val="000000"/>
        </w:rPr>
        <w:t>Section 2</w:t>
      </w:r>
      <w:bookmarkStart w:id="0" w:name="_GoBack"/>
      <w:bookmarkEnd w:id="0"/>
      <w:r w:rsidR="00383C5A">
        <w:rPr>
          <w:rFonts w:ascii="Courier New" w:eastAsia="Times New Roman" w:hAnsi="Courier New" w:cs="Times New Roman"/>
          <w:color w:val="000000"/>
        </w:rPr>
        <w:t xml:space="preserve">. </w:t>
      </w:r>
      <w:r w:rsidR="00AB7D81">
        <w:rPr>
          <w:rFonts w:ascii="Courier New" w:eastAsia="Times New Roman" w:hAnsi="Courier New" w:cs="Times New Roman"/>
          <w:color w:val="000000"/>
        </w:rPr>
        <w:t>This act shall take effect immediately</w:t>
      </w:r>
    </w:p>
    <w:p w14:paraId="0C630921" w14:textId="4E61E6DE" w:rsidR="00436423" w:rsidRDefault="00436423" w:rsidP="00F805D8">
      <w:pPr>
        <w:ind w:left="1080"/>
        <w:rPr>
          <w:rFonts w:ascii="Courier New" w:eastAsia="Times New Roman" w:hAnsi="Courier New" w:cs="Times New Roman"/>
          <w:color w:val="000000"/>
          <w:u w:val="single"/>
        </w:rPr>
      </w:pPr>
    </w:p>
    <w:p w14:paraId="2BD3986D" w14:textId="77777777" w:rsidR="00F805D8" w:rsidRPr="00F805D8" w:rsidRDefault="00F805D8" w:rsidP="00F805D8">
      <w:pPr>
        <w:ind w:left="1080"/>
        <w:rPr>
          <w:rFonts w:ascii="Courier New" w:eastAsia="Times New Roman" w:hAnsi="Courier New" w:cs="Times New Roman"/>
          <w:color w:val="000000"/>
          <w:u w:val="single"/>
        </w:rPr>
      </w:pPr>
    </w:p>
    <w:p w14:paraId="7B533450" w14:textId="6DE97FBD" w:rsidR="007355D6" w:rsidRPr="007355D6" w:rsidRDefault="007355D6" w:rsidP="007355D6">
      <w:pPr>
        <w:ind w:left="1440"/>
        <w:rPr>
          <w:rFonts w:ascii="Courier New" w:eastAsia="Times New Roman" w:hAnsi="Courier New" w:cs="Times New Roman"/>
          <w:color w:val="000000"/>
          <w:u w:val="single"/>
        </w:rPr>
      </w:pPr>
    </w:p>
    <w:p w14:paraId="150845E0" w14:textId="492C34D4" w:rsidR="007355D6" w:rsidRPr="007355D6" w:rsidRDefault="007355D6" w:rsidP="00607867">
      <w:pPr>
        <w:rPr>
          <w:rFonts w:ascii="Courier New" w:eastAsia="Times New Roman" w:hAnsi="Courier New" w:cs="Times New Roman"/>
          <w:color w:val="000000"/>
          <w:u w:val="single"/>
        </w:rPr>
      </w:pPr>
    </w:p>
    <w:p w14:paraId="4F33F5E3" w14:textId="77777777" w:rsidR="00607867" w:rsidRDefault="00607867" w:rsidP="00607867">
      <w:pPr>
        <w:rPr>
          <w:rFonts w:ascii="Courier New" w:eastAsia="Times New Roman" w:hAnsi="Courier New" w:cs="Times New Roman"/>
          <w:color w:val="000000"/>
        </w:rPr>
      </w:pPr>
    </w:p>
    <w:p w14:paraId="176CED05" w14:textId="77777777" w:rsidR="00607867" w:rsidRPr="00607867" w:rsidRDefault="00607867" w:rsidP="00607867">
      <w:pPr>
        <w:rPr>
          <w:rFonts w:ascii="Courier New" w:eastAsia="Times New Roman" w:hAnsi="Courier New" w:cs="Times New Roman"/>
          <w:color w:val="000000"/>
        </w:rPr>
      </w:pPr>
    </w:p>
    <w:p w14:paraId="48CD8D57" w14:textId="77777777" w:rsidR="00607867" w:rsidRPr="00607867" w:rsidRDefault="00607867" w:rsidP="00607867">
      <w:pPr>
        <w:rPr>
          <w:rFonts w:ascii="Courier New" w:eastAsia="Times New Roman" w:hAnsi="Courier New" w:cs="Times New Roman"/>
          <w:color w:val="000000"/>
        </w:rPr>
      </w:pPr>
    </w:p>
    <w:p w14:paraId="10B4291C" w14:textId="77777777" w:rsidR="000E34BD" w:rsidRPr="000E34BD" w:rsidRDefault="000E34BD" w:rsidP="000E34BD">
      <w:pPr>
        <w:rPr>
          <w:rFonts w:ascii="Times" w:eastAsia="Times New Roman" w:hAnsi="Times" w:cs="Times New Roman"/>
          <w:sz w:val="20"/>
          <w:szCs w:val="20"/>
        </w:rPr>
      </w:pPr>
    </w:p>
    <w:p w14:paraId="6A99DD3A" w14:textId="77777777" w:rsidR="000E34BD" w:rsidRDefault="000E34BD"/>
    <w:sectPr w:rsidR="000E34BD" w:rsidSect="00202113">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479B8" w14:textId="77777777" w:rsidR="00CB128E" w:rsidRDefault="00CB128E" w:rsidP="006A0E0A">
      <w:r>
        <w:separator/>
      </w:r>
    </w:p>
  </w:endnote>
  <w:endnote w:type="continuationSeparator" w:id="0">
    <w:p w14:paraId="2B59B150" w14:textId="77777777" w:rsidR="00CB128E" w:rsidRDefault="00CB128E" w:rsidP="006A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67A59" w14:textId="77777777" w:rsidR="00CB128E" w:rsidRDefault="00CB128E" w:rsidP="00CB1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73197" w14:textId="77777777" w:rsidR="00CB128E" w:rsidRDefault="00CB128E" w:rsidP="006A0E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FE530" w14:textId="77777777" w:rsidR="00CB128E" w:rsidRDefault="00CB128E" w:rsidP="00CB1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5299">
      <w:rPr>
        <w:rStyle w:val="PageNumber"/>
        <w:noProof/>
      </w:rPr>
      <w:t>3</w:t>
    </w:r>
    <w:r>
      <w:rPr>
        <w:rStyle w:val="PageNumber"/>
      </w:rPr>
      <w:fldChar w:fldCharType="end"/>
    </w:r>
  </w:p>
  <w:p w14:paraId="72A1BF96" w14:textId="77777777" w:rsidR="00CB128E" w:rsidRDefault="00CB128E" w:rsidP="006A0E0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5A460" w14:textId="77777777" w:rsidR="00CB128E" w:rsidRDefault="00CB128E" w:rsidP="006A0E0A">
      <w:r>
        <w:separator/>
      </w:r>
    </w:p>
  </w:footnote>
  <w:footnote w:type="continuationSeparator" w:id="0">
    <w:p w14:paraId="17AE395F" w14:textId="77777777" w:rsidR="00CB128E" w:rsidRDefault="00CB128E" w:rsidP="006A0E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70007"/>
    <w:multiLevelType w:val="hybridMultilevel"/>
    <w:tmpl w:val="8856CD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BD"/>
    <w:rsid w:val="00003798"/>
    <w:rsid w:val="00004B48"/>
    <w:rsid w:val="0003708C"/>
    <w:rsid w:val="000416EF"/>
    <w:rsid w:val="00056238"/>
    <w:rsid w:val="00093DA7"/>
    <w:rsid w:val="000E34BD"/>
    <w:rsid w:val="001402EC"/>
    <w:rsid w:val="00147160"/>
    <w:rsid w:val="00155BE0"/>
    <w:rsid w:val="0017152C"/>
    <w:rsid w:val="00184D6F"/>
    <w:rsid w:val="001A6337"/>
    <w:rsid w:val="001B4644"/>
    <w:rsid w:val="001C4841"/>
    <w:rsid w:val="001E58A8"/>
    <w:rsid w:val="00202113"/>
    <w:rsid w:val="00250CBB"/>
    <w:rsid w:val="00271E96"/>
    <w:rsid w:val="00274065"/>
    <w:rsid w:val="002B32F3"/>
    <w:rsid w:val="002E61EB"/>
    <w:rsid w:val="0030124A"/>
    <w:rsid w:val="00304A0F"/>
    <w:rsid w:val="0033018B"/>
    <w:rsid w:val="0035281F"/>
    <w:rsid w:val="00383C5A"/>
    <w:rsid w:val="003A05D9"/>
    <w:rsid w:val="003C3683"/>
    <w:rsid w:val="003E704C"/>
    <w:rsid w:val="003F78D2"/>
    <w:rsid w:val="00424011"/>
    <w:rsid w:val="00436423"/>
    <w:rsid w:val="00461C23"/>
    <w:rsid w:val="004E0929"/>
    <w:rsid w:val="004E5277"/>
    <w:rsid w:val="004F4797"/>
    <w:rsid w:val="0051216A"/>
    <w:rsid w:val="005804D1"/>
    <w:rsid w:val="005A59BB"/>
    <w:rsid w:val="005F17F1"/>
    <w:rsid w:val="00607867"/>
    <w:rsid w:val="00616794"/>
    <w:rsid w:val="00671526"/>
    <w:rsid w:val="00671BCD"/>
    <w:rsid w:val="006A0E0A"/>
    <w:rsid w:val="006B53D8"/>
    <w:rsid w:val="006B7379"/>
    <w:rsid w:val="006D03FB"/>
    <w:rsid w:val="006D3C6E"/>
    <w:rsid w:val="006E67DB"/>
    <w:rsid w:val="007252F8"/>
    <w:rsid w:val="007355D6"/>
    <w:rsid w:val="00741EEC"/>
    <w:rsid w:val="00793443"/>
    <w:rsid w:val="007A4214"/>
    <w:rsid w:val="007F5390"/>
    <w:rsid w:val="008A3986"/>
    <w:rsid w:val="008D715D"/>
    <w:rsid w:val="008E2E5A"/>
    <w:rsid w:val="00906901"/>
    <w:rsid w:val="0096691D"/>
    <w:rsid w:val="009912E2"/>
    <w:rsid w:val="009C131B"/>
    <w:rsid w:val="009C5520"/>
    <w:rsid w:val="00A044E2"/>
    <w:rsid w:val="00A265EB"/>
    <w:rsid w:val="00A46425"/>
    <w:rsid w:val="00A716E7"/>
    <w:rsid w:val="00A85E36"/>
    <w:rsid w:val="00A961C1"/>
    <w:rsid w:val="00AA1158"/>
    <w:rsid w:val="00AA59B2"/>
    <w:rsid w:val="00AB7D81"/>
    <w:rsid w:val="00AD6745"/>
    <w:rsid w:val="00AD69F7"/>
    <w:rsid w:val="00AE2A65"/>
    <w:rsid w:val="00AF2DDF"/>
    <w:rsid w:val="00AF3CD0"/>
    <w:rsid w:val="00AF4F09"/>
    <w:rsid w:val="00B435FD"/>
    <w:rsid w:val="00BD1EC9"/>
    <w:rsid w:val="00BE70AF"/>
    <w:rsid w:val="00BF2ABD"/>
    <w:rsid w:val="00C0416F"/>
    <w:rsid w:val="00C21EC0"/>
    <w:rsid w:val="00C50CCE"/>
    <w:rsid w:val="00C83B35"/>
    <w:rsid w:val="00C977C7"/>
    <w:rsid w:val="00CB128E"/>
    <w:rsid w:val="00CB4E6A"/>
    <w:rsid w:val="00CD10E8"/>
    <w:rsid w:val="00D21E87"/>
    <w:rsid w:val="00D26BBD"/>
    <w:rsid w:val="00D7518E"/>
    <w:rsid w:val="00D8220C"/>
    <w:rsid w:val="00E13AE0"/>
    <w:rsid w:val="00E45469"/>
    <w:rsid w:val="00E65299"/>
    <w:rsid w:val="00E72B57"/>
    <w:rsid w:val="00ED1618"/>
    <w:rsid w:val="00F6014F"/>
    <w:rsid w:val="00F805D8"/>
    <w:rsid w:val="00F84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41CC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number">
    <w:name w:val="line-number"/>
    <w:basedOn w:val="DefaultParagraphFont"/>
    <w:rsid w:val="000E34BD"/>
  </w:style>
  <w:style w:type="character" w:styleId="CommentReference">
    <w:name w:val="annotation reference"/>
    <w:basedOn w:val="DefaultParagraphFont"/>
    <w:uiPriority w:val="99"/>
    <w:semiHidden/>
    <w:unhideWhenUsed/>
    <w:rsid w:val="007355D6"/>
    <w:rPr>
      <w:sz w:val="18"/>
      <w:szCs w:val="18"/>
    </w:rPr>
  </w:style>
  <w:style w:type="paragraph" w:styleId="CommentText">
    <w:name w:val="annotation text"/>
    <w:basedOn w:val="Normal"/>
    <w:link w:val="CommentTextChar"/>
    <w:uiPriority w:val="99"/>
    <w:semiHidden/>
    <w:unhideWhenUsed/>
    <w:rsid w:val="007355D6"/>
    <w:rPr>
      <w:rFonts w:ascii="Arial" w:eastAsia="Arial" w:hAnsi="Arial" w:cs="Arial"/>
      <w:color w:val="000000"/>
    </w:rPr>
  </w:style>
  <w:style w:type="character" w:customStyle="1" w:styleId="CommentTextChar">
    <w:name w:val="Comment Text Char"/>
    <w:basedOn w:val="DefaultParagraphFont"/>
    <w:link w:val="CommentText"/>
    <w:uiPriority w:val="99"/>
    <w:semiHidden/>
    <w:rsid w:val="007355D6"/>
    <w:rPr>
      <w:rFonts w:ascii="Arial" w:eastAsia="Arial" w:hAnsi="Arial" w:cs="Arial"/>
      <w:color w:val="000000"/>
    </w:rPr>
  </w:style>
  <w:style w:type="paragraph" w:styleId="BalloonText">
    <w:name w:val="Balloon Text"/>
    <w:basedOn w:val="Normal"/>
    <w:link w:val="BalloonTextChar"/>
    <w:uiPriority w:val="99"/>
    <w:semiHidden/>
    <w:unhideWhenUsed/>
    <w:rsid w:val="007355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5D6"/>
    <w:rPr>
      <w:rFonts w:ascii="Lucida Grande" w:hAnsi="Lucida Grande" w:cs="Lucida Grande"/>
      <w:sz w:val="18"/>
      <w:szCs w:val="18"/>
    </w:rPr>
  </w:style>
  <w:style w:type="paragraph" w:styleId="ListParagraph">
    <w:name w:val="List Paragraph"/>
    <w:basedOn w:val="Normal"/>
    <w:uiPriority w:val="34"/>
    <w:qFormat/>
    <w:rsid w:val="00436423"/>
    <w:pPr>
      <w:ind w:left="720"/>
      <w:contextualSpacing/>
    </w:pPr>
  </w:style>
  <w:style w:type="paragraph" w:styleId="CommentSubject">
    <w:name w:val="annotation subject"/>
    <w:basedOn w:val="CommentText"/>
    <w:next w:val="CommentText"/>
    <w:link w:val="CommentSubjectChar"/>
    <w:uiPriority w:val="99"/>
    <w:semiHidden/>
    <w:unhideWhenUsed/>
    <w:rsid w:val="00AA1158"/>
    <w:rPr>
      <w:rFonts w:asciiTheme="minorHAnsi" w:eastAsiaTheme="minorEastAsia"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AA1158"/>
    <w:rPr>
      <w:rFonts w:ascii="Arial" w:eastAsia="Arial" w:hAnsi="Arial" w:cs="Arial"/>
      <w:b/>
      <w:bCs/>
      <w:color w:val="000000"/>
      <w:sz w:val="20"/>
      <w:szCs w:val="20"/>
    </w:rPr>
  </w:style>
  <w:style w:type="paragraph" w:styleId="Footer">
    <w:name w:val="footer"/>
    <w:basedOn w:val="Normal"/>
    <w:link w:val="FooterChar"/>
    <w:uiPriority w:val="99"/>
    <w:unhideWhenUsed/>
    <w:rsid w:val="006A0E0A"/>
    <w:pPr>
      <w:tabs>
        <w:tab w:val="center" w:pos="4320"/>
        <w:tab w:val="right" w:pos="8640"/>
      </w:tabs>
    </w:pPr>
  </w:style>
  <w:style w:type="character" w:customStyle="1" w:styleId="FooterChar">
    <w:name w:val="Footer Char"/>
    <w:basedOn w:val="DefaultParagraphFont"/>
    <w:link w:val="Footer"/>
    <w:uiPriority w:val="99"/>
    <w:rsid w:val="006A0E0A"/>
  </w:style>
  <w:style w:type="character" w:styleId="PageNumber">
    <w:name w:val="page number"/>
    <w:basedOn w:val="DefaultParagraphFont"/>
    <w:uiPriority w:val="99"/>
    <w:semiHidden/>
    <w:unhideWhenUsed/>
    <w:rsid w:val="006A0E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number">
    <w:name w:val="line-number"/>
    <w:basedOn w:val="DefaultParagraphFont"/>
    <w:rsid w:val="000E34BD"/>
  </w:style>
  <w:style w:type="character" w:styleId="CommentReference">
    <w:name w:val="annotation reference"/>
    <w:basedOn w:val="DefaultParagraphFont"/>
    <w:uiPriority w:val="99"/>
    <w:semiHidden/>
    <w:unhideWhenUsed/>
    <w:rsid w:val="007355D6"/>
    <w:rPr>
      <w:sz w:val="18"/>
      <w:szCs w:val="18"/>
    </w:rPr>
  </w:style>
  <w:style w:type="paragraph" w:styleId="CommentText">
    <w:name w:val="annotation text"/>
    <w:basedOn w:val="Normal"/>
    <w:link w:val="CommentTextChar"/>
    <w:uiPriority w:val="99"/>
    <w:semiHidden/>
    <w:unhideWhenUsed/>
    <w:rsid w:val="007355D6"/>
    <w:rPr>
      <w:rFonts w:ascii="Arial" w:eastAsia="Arial" w:hAnsi="Arial" w:cs="Arial"/>
      <w:color w:val="000000"/>
    </w:rPr>
  </w:style>
  <w:style w:type="character" w:customStyle="1" w:styleId="CommentTextChar">
    <w:name w:val="Comment Text Char"/>
    <w:basedOn w:val="DefaultParagraphFont"/>
    <w:link w:val="CommentText"/>
    <w:uiPriority w:val="99"/>
    <w:semiHidden/>
    <w:rsid w:val="007355D6"/>
    <w:rPr>
      <w:rFonts w:ascii="Arial" w:eastAsia="Arial" w:hAnsi="Arial" w:cs="Arial"/>
      <w:color w:val="000000"/>
    </w:rPr>
  </w:style>
  <w:style w:type="paragraph" w:styleId="BalloonText">
    <w:name w:val="Balloon Text"/>
    <w:basedOn w:val="Normal"/>
    <w:link w:val="BalloonTextChar"/>
    <w:uiPriority w:val="99"/>
    <w:semiHidden/>
    <w:unhideWhenUsed/>
    <w:rsid w:val="007355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5D6"/>
    <w:rPr>
      <w:rFonts w:ascii="Lucida Grande" w:hAnsi="Lucida Grande" w:cs="Lucida Grande"/>
      <w:sz w:val="18"/>
      <w:szCs w:val="18"/>
    </w:rPr>
  </w:style>
  <w:style w:type="paragraph" w:styleId="ListParagraph">
    <w:name w:val="List Paragraph"/>
    <w:basedOn w:val="Normal"/>
    <w:uiPriority w:val="34"/>
    <w:qFormat/>
    <w:rsid w:val="00436423"/>
    <w:pPr>
      <w:ind w:left="720"/>
      <w:contextualSpacing/>
    </w:pPr>
  </w:style>
  <w:style w:type="paragraph" w:styleId="CommentSubject">
    <w:name w:val="annotation subject"/>
    <w:basedOn w:val="CommentText"/>
    <w:next w:val="CommentText"/>
    <w:link w:val="CommentSubjectChar"/>
    <w:uiPriority w:val="99"/>
    <w:semiHidden/>
    <w:unhideWhenUsed/>
    <w:rsid w:val="00AA1158"/>
    <w:rPr>
      <w:rFonts w:asciiTheme="minorHAnsi" w:eastAsiaTheme="minorEastAsia"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AA1158"/>
    <w:rPr>
      <w:rFonts w:ascii="Arial" w:eastAsia="Arial" w:hAnsi="Arial" w:cs="Arial"/>
      <w:b/>
      <w:bCs/>
      <w:color w:val="000000"/>
      <w:sz w:val="20"/>
      <w:szCs w:val="20"/>
    </w:rPr>
  </w:style>
  <w:style w:type="paragraph" w:styleId="Footer">
    <w:name w:val="footer"/>
    <w:basedOn w:val="Normal"/>
    <w:link w:val="FooterChar"/>
    <w:uiPriority w:val="99"/>
    <w:unhideWhenUsed/>
    <w:rsid w:val="006A0E0A"/>
    <w:pPr>
      <w:tabs>
        <w:tab w:val="center" w:pos="4320"/>
        <w:tab w:val="right" w:pos="8640"/>
      </w:tabs>
    </w:pPr>
  </w:style>
  <w:style w:type="character" w:customStyle="1" w:styleId="FooterChar">
    <w:name w:val="Footer Char"/>
    <w:basedOn w:val="DefaultParagraphFont"/>
    <w:link w:val="Footer"/>
    <w:uiPriority w:val="99"/>
    <w:rsid w:val="006A0E0A"/>
  </w:style>
  <w:style w:type="character" w:styleId="PageNumber">
    <w:name w:val="page number"/>
    <w:basedOn w:val="DefaultParagraphFont"/>
    <w:uiPriority w:val="99"/>
    <w:semiHidden/>
    <w:unhideWhenUsed/>
    <w:rsid w:val="006A0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3334">
      <w:bodyDiv w:val="1"/>
      <w:marLeft w:val="0"/>
      <w:marRight w:val="0"/>
      <w:marTop w:val="0"/>
      <w:marBottom w:val="0"/>
      <w:divBdr>
        <w:top w:val="none" w:sz="0" w:space="0" w:color="auto"/>
        <w:left w:val="none" w:sz="0" w:space="0" w:color="auto"/>
        <w:bottom w:val="none" w:sz="0" w:space="0" w:color="auto"/>
        <w:right w:val="none" w:sz="0" w:space="0" w:color="auto"/>
      </w:divBdr>
    </w:div>
    <w:div w:id="180048464">
      <w:bodyDiv w:val="1"/>
      <w:marLeft w:val="0"/>
      <w:marRight w:val="0"/>
      <w:marTop w:val="0"/>
      <w:marBottom w:val="0"/>
      <w:divBdr>
        <w:top w:val="none" w:sz="0" w:space="0" w:color="auto"/>
        <w:left w:val="none" w:sz="0" w:space="0" w:color="auto"/>
        <w:bottom w:val="none" w:sz="0" w:space="0" w:color="auto"/>
        <w:right w:val="none" w:sz="0" w:space="0" w:color="auto"/>
      </w:divBdr>
    </w:div>
    <w:div w:id="454520085">
      <w:bodyDiv w:val="1"/>
      <w:marLeft w:val="0"/>
      <w:marRight w:val="0"/>
      <w:marTop w:val="0"/>
      <w:marBottom w:val="0"/>
      <w:divBdr>
        <w:top w:val="none" w:sz="0" w:space="0" w:color="auto"/>
        <w:left w:val="none" w:sz="0" w:space="0" w:color="auto"/>
        <w:bottom w:val="none" w:sz="0" w:space="0" w:color="auto"/>
        <w:right w:val="none" w:sz="0" w:space="0" w:color="auto"/>
      </w:divBdr>
    </w:div>
    <w:div w:id="687489680">
      <w:bodyDiv w:val="1"/>
      <w:marLeft w:val="0"/>
      <w:marRight w:val="0"/>
      <w:marTop w:val="0"/>
      <w:marBottom w:val="0"/>
      <w:divBdr>
        <w:top w:val="none" w:sz="0" w:space="0" w:color="auto"/>
        <w:left w:val="none" w:sz="0" w:space="0" w:color="auto"/>
        <w:bottom w:val="none" w:sz="0" w:space="0" w:color="auto"/>
        <w:right w:val="none" w:sz="0" w:space="0" w:color="auto"/>
      </w:divBdr>
    </w:div>
    <w:div w:id="696083941">
      <w:bodyDiv w:val="1"/>
      <w:marLeft w:val="0"/>
      <w:marRight w:val="0"/>
      <w:marTop w:val="0"/>
      <w:marBottom w:val="0"/>
      <w:divBdr>
        <w:top w:val="none" w:sz="0" w:space="0" w:color="auto"/>
        <w:left w:val="none" w:sz="0" w:space="0" w:color="auto"/>
        <w:bottom w:val="none" w:sz="0" w:space="0" w:color="auto"/>
        <w:right w:val="none" w:sz="0" w:space="0" w:color="auto"/>
      </w:divBdr>
    </w:div>
    <w:div w:id="800732608">
      <w:bodyDiv w:val="1"/>
      <w:marLeft w:val="0"/>
      <w:marRight w:val="0"/>
      <w:marTop w:val="0"/>
      <w:marBottom w:val="0"/>
      <w:divBdr>
        <w:top w:val="none" w:sz="0" w:space="0" w:color="auto"/>
        <w:left w:val="none" w:sz="0" w:space="0" w:color="auto"/>
        <w:bottom w:val="none" w:sz="0" w:space="0" w:color="auto"/>
        <w:right w:val="none" w:sz="0" w:space="0" w:color="auto"/>
      </w:divBdr>
    </w:div>
    <w:div w:id="859398472">
      <w:bodyDiv w:val="1"/>
      <w:marLeft w:val="0"/>
      <w:marRight w:val="0"/>
      <w:marTop w:val="0"/>
      <w:marBottom w:val="0"/>
      <w:divBdr>
        <w:top w:val="none" w:sz="0" w:space="0" w:color="auto"/>
        <w:left w:val="none" w:sz="0" w:space="0" w:color="auto"/>
        <w:bottom w:val="none" w:sz="0" w:space="0" w:color="auto"/>
        <w:right w:val="none" w:sz="0" w:space="0" w:color="auto"/>
      </w:divBdr>
    </w:div>
    <w:div w:id="1011645973">
      <w:bodyDiv w:val="1"/>
      <w:marLeft w:val="0"/>
      <w:marRight w:val="0"/>
      <w:marTop w:val="0"/>
      <w:marBottom w:val="0"/>
      <w:divBdr>
        <w:top w:val="none" w:sz="0" w:space="0" w:color="auto"/>
        <w:left w:val="none" w:sz="0" w:space="0" w:color="auto"/>
        <w:bottom w:val="none" w:sz="0" w:space="0" w:color="auto"/>
        <w:right w:val="none" w:sz="0" w:space="0" w:color="auto"/>
      </w:divBdr>
    </w:div>
    <w:div w:id="1171945271">
      <w:bodyDiv w:val="1"/>
      <w:marLeft w:val="0"/>
      <w:marRight w:val="0"/>
      <w:marTop w:val="0"/>
      <w:marBottom w:val="0"/>
      <w:divBdr>
        <w:top w:val="none" w:sz="0" w:space="0" w:color="auto"/>
        <w:left w:val="none" w:sz="0" w:space="0" w:color="auto"/>
        <w:bottom w:val="none" w:sz="0" w:space="0" w:color="auto"/>
        <w:right w:val="none" w:sz="0" w:space="0" w:color="auto"/>
      </w:divBdr>
    </w:div>
    <w:div w:id="1424063769">
      <w:bodyDiv w:val="1"/>
      <w:marLeft w:val="0"/>
      <w:marRight w:val="0"/>
      <w:marTop w:val="0"/>
      <w:marBottom w:val="0"/>
      <w:divBdr>
        <w:top w:val="none" w:sz="0" w:space="0" w:color="auto"/>
        <w:left w:val="none" w:sz="0" w:space="0" w:color="auto"/>
        <w:bottom w:val="none" w:sz="0" w:space="0" w:color="auto"/>
        <w:right w:val="none" w:sz="0" w:space="0" w:color="auto"/>
      </w:divBdr>
    </w:div>
    <w:div w:id="1430000654">
      <w:bodyDiv w:val="1"/>
      <w:marLeft w:val="0"/>
      <w:marRight w:val="0"/>
      <w:marTop w:val="0"/>
      <w:marBottom w:val="0"/>
      <w:divBdr>
        <w:top w:val="none" w:sz="0" w:space="0" w:color="auto"/>
        <w:left w:val="none" w:sz="0" w:space="0" w:color="auto"/>
        <w:bottom w:val="none" w:sz="0" w:space="0" w:color="auto"/>
        <w:right w:val="none" w:sz="0" w:space="0" w:color="auto"/>
      </w:divBdr>
    </w:div>
    <w:div w:id="1442068685">
      <w:bodyDiv w:val="1"/>
      <w:marLeft w:val="0"/>
      <w:marRight w:val="0"/>
      <w:marTop w:val="0"/>
      <w:marBottom w:val="0"/>
      <w:divBdr>
        <w:top w:val="none" w:sz="0" w:space="0" w:color="auto"/>
        <w:left w:val="none" w:sz="0" w:space="0" w:color="auto"/>
        <w:bottom w:val="none" w:sz="0" w:space="0" w:color="auto"/>
        <w:right w:val="none" w:sz="0" w:space="0" w:color="auto"/>
      </w:divBdr>
    </w:div>
    <w:div w:id="1590893760">
      <w:bodyDiv w:val="1"/>
      <w:marLeft w:val="0"/>
      <w:marRight w:val="0"/>
      <w:marTop w:val="0"/>
      <w:marBottom w:val="0"/>
      <w:divBdr>
        <w:top w:val="none" w:sz="0" w:space="0" w:color="auto"/>
        <w:left w:val="none" w:sz="0" w:space="0" w:color="auto"/>
        <w:bottom w:val="none" w:sz="0" w:space="0" w:color="auto"/>
        <w:right w:val="none" w:sz="0" w:space="0" w:color="auto"/>
      </w:divBdr>
    </w:div>
    <w:div w:id="1847019282">
      <w:bodyDiv w:val="1"/>
      <w:marLeft w:val="0"/>
      <w:marRight w:val="0"/>
      <w:marTop w:val="0"/>
      <w:marBottom w:val="0"/>
      <w:divBdr>
        <w:top w:val="none" w:sz="0" w:space="0" w:color="auto"/>
        <w:left w:val="none" w:sz="0" w:space="0" w:color="auto"/>
        <w:bottom w:val="none" w:sz="0" w:space="0" w:color="auto"/>
        <w:right w:val="none" w:sz="0" w:space="0" w:color="auto"/>
      </w:divBdr>
    </w:div>
    <w:div w:id="1890459094">
      <w:bodyDiv w:val="1"/>
      <w:marLeft w:val="0"/>
      <w:marRight w:val="0"/>
      <w:marTop w:val="0"/>
      <w:marBottom w:val="0"/>
      <w:divBdr>
        <w:top w:val="none" w:sz="0" w:space="0" w:color="auto"/>
        <w:left w:val="none" w:sz="0" w:space="0" w:color="auto"/>
        <w:bottom w:val="none" w:sz="0" w:space="0" w:color="auto"/>
        <w:right w:val="none" w:sz="0" w:space="0" w:color="auto"/>
      </w:divBdr>
    </w:div>
    <w:div w:id="1963224024">
      <w:bodyDiv w:val="1"/>
      <w:marLeft w:val="0"/>
      <w:marRight w:val="0"/>
      <w:marTop w:val="0"/>
      <w:marBottom w:val="0"/>
      <w:divBdr>
        <w:top w:val="none" w:sz="0" w:space="0" w:color="auto"/>
        <w:left w:val="none" w:sz="0" w:space="0" w:color="auto"/>
        <w:bottom w:val="none" w:sz="0" w:space="0" w:color="auto"/>
        <w:right w:val="none" w:sz="0" w:space="0" w:color="auto"/>
      </w:divBdr>
    </w:div>
    <w:div w:id="20940069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3391</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Scattergood Foundation</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Scattergood Foundation</dc:creator>
  <cp:lastModifiedBy>Scattergood Foundation</cp:lastModifiedBy>
  <cp:revision>4</cp:revision>
  <cp:lastPrinted>2016-04-12T20:21:00Z</cp:lastPrinted>
  <dcterms:created xsi:type="dcterms:W3CDTF">2018-08-28T16:02:00Z</dcterms:created>
  <dcterms:modified xsi:type="dcterms:W3CDTF">2018-08-28T16:03:00Z</dcterms:modified>
</cp:coreProperties>
</file>