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A338E" w14:textId="07277A9C" w:rsidR="00202113" w:rsidRPr="00D06578" w:rsidRDefault="00B76C82" w:rsidP="00B76C82">
      <w:pPr>
        <w:jc w:val="center"/>
        <w:rPr>
          <w:rFonts w:ascii="Times" w:hAnsi="Times"/>
          <w:b/>
        </w:rPr>
      </w:pPr>
      <w:r w:rsidRPr="00D06578">
        <w:rPr>
          <w:rFonts w:ascii="Times" w:hAnsi="Times"/>
          <w:b/>
        </w:rPr>
        <w:t>As Introduced</w:t>
      </w:r>
    </w:p>
    <w:p w14:paraId="1392F0AB" w14:textId="6856458B" w:rsidR="00B76C82" w:rsidRPr="00C34889" w:rsidRDefault="00B76C82" w:rsidP="00B76C82">
      <w:pPr>
        <w:rPr>
          <w:rFonts w:ascii="Times" w:hAnsi="Times"/>
          <w:b/>
        </w:rPr>
      </w:pPr>
      <w:r w:rsidRPr="00C34889">
        <w:rPr>
          <w:rFonts w:ascii="Times" w:hAnsi="Times"/>
          <w:b/>
        </w:rPr>
        <w:t>133rd General Assembly</w:t>
      </w:r>
    </w:p>
    <w:p w14:paraId="37EF09C3" w14:textId="19CA14BB" w:rsidR="00B76C82" w:rsidRPr="00C34889" w:rsidRDefault="00B76C82" w:rsidP="00B76C82">
      <w:pPr>
        <w:rPr>
          <w:rFonts w:ascii="Times" w:hAnsi="Times"/>
          <w:b/>
        </w:rPr>
      </w:pPr>
      <w:r w:rsidRPr="00C34889">
        <w:rPr>
          <w:rFonts w:ascii="Times" w:hAnsi="Times"/>
          <w:b/>
        </w:rPr>
        <w:t>Regular Session</w:t>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Pr="00C34889">
        <w:rPr>
          <w:rFonts w:ascii="Times" w:hAnsi="Times"/>
          <w:b/>
        </w:rPr>
        <w:t>S.B N.O. XXX</w:t>
      </w:r>
    </w:p>
    <w:p w14:paraId="129CC0F4" w14:textId="22A310EE" w:rsidR="00B76C82" w:rsidRPr="00C34889" w:rsidRDefault="00B76C82" w:rsidP="00B76C82">
      <w:pPr>
        <w:rPr>
          <w:rFonts w:ascii="Times" w:hAnsi="Times"/>
          <w:b/>
        </w:rPr>
      </w:pPr>
      <w:r w:rsidRPr="00C34889">
        <w:rPr>
          <w:rFonts w:ascii="Times" w:hAnsi="Times"/>
          <w:b/>
        </w:rPr>
        <w:t>2019-2020</w:t>
      </w:r>
    </w:p>
    <w:p w14:paraId="44FEB75A" w14:textId="5A270CB6" w:rsidR="00C46184" w:rsidRPr="00C34889" w:rsidRDefault="00C46184" w:rsidP="00C46184">
      <w:pPr>
        <w:jc w:val="center"/>
        <w:rPr>
          <w:rFonts w:ascii="Times" w:hAnsi="Times"/>
          <w:b/>
        </w:rPr>
      </w:pPr>
      <w:r w:rsidRPr="00C34889">
        <w:rPr>
          <w:rFonts w:ascii="Times" w:hAnsi="Times"/>
          <w:b/>
        </w:rPr>
        <w:t>Senators _____, ______</w:t>
      </w:r>
    </w:p>
    <w:p w14:paraId="1DEE4DB0" w14:textId="3CF774B7" w:rsidR="00C46184" w:rsidRPr="00C34889" w:rsidRDefault="00C46184" w:rsidP="00C46184">
      <w:pPr>
        <w:jc w:val="center"/>
        <w:rPr>
          <w:rFonts w:ascii="Times" w:hAnsi="Times"/>
          <w:b/>
        </w:rPr>
      </w:pPr>
      <w:r w:rsidRPr="00C34889">
        <w:rPr>
          <w:rFonts w:ascii="Times" w:hAnsi="Times"/>
          <w:b/>
        </w:rPr>
        <w:t>Cosponsors: Senators ______, ______, ______, ______, ________</w:t>
      </w:r>
    </w:p>
    <w:p w14:paraId="5418C81E" w14:textId="77777777" w:rsidR="00D90E05" w:rsidRDefault="00D90E05">
      <w:pPr>
        <w:rPr>
          <w:rFonts w:ascii="Times" w:hAnsi="Times"/>
          <w:sz w:val="22"/>
          <w:szCs w:val="22"/>
        </w:rPr>
      </w:pPr>
    </w:p>
    <w:p w14:paraId="22144B9B" w14:textId="08114A4C" w:rsidR="00E407D5" w:rsidRDefault="00E407D5" w:rsidP="00D90E05">
      <w:pPr>
        <w:jc w:val="center"/>
        <w:rPr>
          <w:rFonts w:ascii="Times" w:hAnsi="Times"/>
          <w:b/>
          <w:sz w:val="22"/>
          <w:szCs w:val="22"/>
        </w:rPr>
      </w:pPr>
      <w:r>
        <w:rPr>
          <w:rFonts w:ascii="Times" w:hAnsi="Times"/>
          <w:b/>
          <w:noProof/>
          <w:sz w:val="22"/>
          <w:szCs w:val="22"/>
        </w:rPr>
        <mc:AlternateContent>
          <mc:Choice Requires="wps">
            <w:drawing>
              <wp:anchor distT="0" distB="0" distL="114300" distR="114300" simplePos="0" relativeHeight="251659264" behindDoc="0" locked="0" layoutInCell="1" allowOverlap="1" wp14:anchorId="1A5BF053" wp14:editId="43F1C4C6">
                <wp:simplePos x="0" y="0"/>
                <wp:positionH relativeFrom="column">
                  <wp:posOffset>2514600</wp:posOffset>
                </wp:positionH>
                <wp:positionV relativeFrom="paragraph">
                  <wp:posOffset>128270</wp:posOffset>
                </wp:positionV>
                <wp:extent cx="4572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457200" cy="0"/>
                        </a:xfrm>
                        <a:prstGeom prst="line">
                          <a:avLst/>
                        </a:prstGeom>
                        <a:ln w="317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pt,10.1pt" to="234pt,1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" strokecolor="black [3213]" strokeweight="2.5pt">
                <v:shadow on="t" opacity="24903f" mv:blur="40000f" origin=",.5" offset="0,20000emu"/>
              </v:line>
            </w:pict>
          </mc:Fallback>
        </mc:AlternateContent>
      </w:r>
    </w:p>
    <w:p w14:paraId="7FA54941" w14:textId="77777777" w:rsidR="00E407D5" w:rsidRDefault="00E407D5" w:rsidP="00D90E05">
      <w:pPr>
        <w:jc w:val="center"/>
        <w:rPr>
          <w:rFonts w:ascii="Times" w:hAnsi="Times"/>
          <w:b/>
          <w:sz w:val="22"/>
          <w:szCs w:val="22"/>
        </w:rPr>
      </w:pPr>
    </w:p>
    <w:p w14:paraId="55C218B7" w14:textId="77777777" w:rsidR="00D90E05" w:rsidRPr="00E407D5" w:rsidRDefault="00D90E05" w:rsidP="00D90E05">
      <w:pPr>
        <w:jc w:val="center"/>
        <w:rPr>
          <w:rFonts w:ascii="Times" w:hAnsi="Times"/>
          <w:b/>
          <w:sz w:val="28"/>
          <w:szCs w:val="28"/>
        </w:rPr>
      </w:pPr>
      <w:r w:rsidRPr="00E407D5">
        <w:rPr>
          <w:rFonts w:ascii="Times" w:hAnsi="Times"/>
          <w:b/>
          <w:sz w:val="28"/>
          <w:szCs w:val="28"/>
        </w:rPr>
        <w:t>A BILL</w:t>
      </w:r>
    </w:p>
    <w:p w14:paraId="123AFAF3" w14:textId="0BA5C319" w:rsidR="00D90E05" w:rsidRDefault="00D90E05" w:rsidP="00A92B58">
      <w:pPr>
        <w:ind w:left="1728" w:hanging="288"/>
        <w:rPr>
          <w:rFonts w:ascii="Times" w:hAnsi="Times"/>
          <w:sz w:val="22"/>
          <w:szCs w:val="22"/>
        </w:rPr>
      </w:pPr>
      <w:proofErr w:type="gramStart"/>
      <w:r>
        <w:rPr>
          <w:rFonts w:ascii="Times" w:hAnsi="Times"/>
          <w:sz w:val="22"/>
          <w:szCs w:val="22"/>
        </w:rPr>
        <w:t>To enact sections 3923.283 of the Revised Code to provide parity transparency and accountability.</w:t>
      </w:r>
      <w:proofErr w:type="gramEnd"/>
    </w:p>
    <w:p w14:paraId="29CA0D8E" w14:textId="77777777" w:rsidR="009C1C2D" w:rsidRDefault="009C1C2D" w:rsidP="00D90E05">
      <w:pPr>
        <w:ind w:left="2160" w:hanging="720"/>
        <w:rPr>
          <w:rFonts w:ascii="Times" w:hAnsi="Times"/>
          <w:sz w:val="22"/>
          <w:szCs w:val="22"/>
        </w:rPr>
      </w:pPr>
    </w:p>
    <w:p w14:paraId="4776C632" w14:textId="77777777" w:rsidR="009C1C2D" w:rsidRPr="00943ED5" w:rsidRDefault="009C1C2D" w:rsidP="00D90E05">
      <w:pPr>
        <w:ind w:left="2160" w:hanging="720"/>
        <w:rPr>
          <w:rFonts w:ascii="Times" w:hAnsi="Times"/>
        </w:rPr>
      </w:pPr>
    </w:p>
    <w:p w14:paraId="7BBA0747" w14:textId="77777777" w:rsidR="00D90E05" w:rsidRPr="009C1C2D" w:rsidRDefault="00D90E05" w:rsidP="009C1C2D">
      <w:pPr>
        <w:jc w:val="center"/>
        <w:rPr>
          <w:rFonts w:ascii="Times" w:eastAsia="Times New Roman" w:hAnsi="Times" w:cs="Times New Roman"/>
          <w:b/>
          <w:sz w:val="20"/>
          <w:szCs w:val="20"/>
        </w:rPr>
      </w:pPr>
      <w:r w:rsidRPr="00943ED5">
        <w:rPr>
          <w:rFonts w:ascii="Times" w:eastAsia="Times New Roman" w:hAnsi="Times" w:cs="Times New Roman"/>
          <w:b/>
        </w:rPr>
        <w:t>BE IT ENACTED BY THE GENERAL ASSEMBLY OF THE STATE OF OHIO:</w:t>
      </w:r>
    </w:p>
    <w:p w14:paraId="2AB6282E" w14:textId="77777777" w:rsidR="00D90E05" w:rsidRDefault="00D90E05" w:rsidP="00D90E05">
      <w:pPr>
        <w:rPr>
          <w:rFonts w:ascii="Times" w:hAnsi="Times"/>
          <w:sz w:val="22"/>
          <w:szCs w:val="22"/>
        </w:rPr>
      </w:pPr>
    </w:p>
    <w:p w14:paraId="29302A14" w14:textId="77777777" w:rsidR="00D90E05" w:rsidRDefault="00D90E05" w:rsidP="00D90E05">
      <w:pPr>
        <w:rPr>
          <w:rFonts w:ascii="Times" w:hAnsi="Times"/>
          <w:sz w:val="22"/>
          <w:szCs w:val="22"/>
        </w:rPr>
      </w:pPr>
    </w:p>
    <w:p w14:paraId="37CB120A" w14:textId="0E3F2906" w:rsidR="00D90E05" w:rsidRDefault="00D90E05" w:rsidP="00D90E05">
      <w:pPr>
        <w:rPr>
          <w:rFonts w:ascii="Times" w:hAnsi="Times"/>
          <w:sz w:val="22"/>
          <w:szCs w:val="22"/>
        </w:rPr>
      </w:pPr>
      <w:r w:rsidRPr="007467F1">
        <w:rPr>
          <w:rFonts w:ascii="Times" w:hAnsi="Times"/>
          <w:b/>
          <w:sz w:val="22"/>
          <w:szCs w:val="22"/>
        </w:rPr>
        <w:tab/>
        <w:t>Section 1.</w:t>
      </w:r>
      <w:r>
        <w:rPr>
          <w:rFonts w:ascii="Times" w:hAnsi="Times"/>
          <w:sz w:val="22"/>
          <w:szCs w:val="22"/>
        </w:rPr>
        <w:t xml:space="preserve">  </w:t>
      </w:r>
      <w:r w:rsidR="008C43E4">
        <w:rPr>
          <w:rFonts w:ascii="Times" w:hAnsi="Times"/>
          <w:sz w:val="22"/>
          <w:szCs w:val="22"/>
        </w:rPr>
        <w:t>That s</w:t>
      </w:r>
      <w:r>
        <w:rPr>
          <w:rFonts w:ascii="Times" w:hAnsi="Times"/>
          <w:sz w:val="22"/>
          <w:szCs w:val="22"/>
        </w:rPr>
        <w:t xml:space="preserve">ection 3923.283 and 3923.284 of the Revised Code </w:t>
      </w:r>
      <w:proofErr w:type="gramStart"/>
      <w:r>
        <w:rPr>
          <w:rFonts w:ascii="Times" w:hAnsi="Times"/>
          <w:sz w:val="22"/>
          <w:szCs w:val="22"/>
        </w:rPr>
        <w:t>be</w:t>
      </w:r>
      <w:proofErr w:type="gramEnd"/>
      <w:r>
        <w:rPr>
          <w:rFonts w:ascii="Times" w:hAnsi="Times"/>
          <w:sz w:val="22"/>
          <w:szCs w:val="22"/>
        </w:rPr>
        <w:t xml:space="preserve"> enacted to read as follows:</w:t>
      </w:r>
    </w:p>
    <w:p w14:paraId="047FDC22" w14:textId="77777777" w:rsidR="00D90E05" w:rsidRDefault="00D90E05" w:rsidP="00D90E05">
      <w:pPr>
        <w:rPr>
          <w:rFonts w:ascii="Times" w:hAnsi="Times"/>
          <w:sz w:val="22"/>
          <w:szCs w:val="22"/>
        </w:rPr>
      </w:pPr>
    </w:p>
    <w:p w14:paraId="382CB74E" w14:textId="0ADDA6A0" w:rsidR="00D90E05" w:rsidRDefault="00D90E05" w:rsidP="00D90E05">
      <w:pPr>
        <w:rPr>
          <w:rFonts w:ascii="Times" w:hAnsi="Times"/>
          <w:sz w:val="22"/>
          <w:szCs w:val="22"/>
          <w:u w:val="single"/>
        </w:rPr>
      </w:pPr>
      <w:r>
        <w:rPr>
          <w:rFonts w:ascii="Times" w:hAnsi="Times"/>
          <w:sz w:val="22"/>
          <w:szCs w:val="22"/>
        </w:rPr>
        <w:tab/>
      </w:r>
      <w:r w:rsidRPr="007467F1">
        <w:rPr>
          <w:rFonts w:ascii="Times" w:hAnsi="Times"/>
          <w:b/>
          <w:sz w:val="22"/>
          <w:szCs w:val="22"/>
          <w:u w:val="single"/>
        </w:rPr>
        <w:t>Sec. 3923.283.</w:t>
      </w:r>
      <w:r>
        <w:rPr>
          <w:rFonts w:ascii="Times" w:hAnsi="Times"/>
          <w:sz w:val="22"/>
          <w:szCs w:val="22"/>
          <w:u w:val="single"/>
        </w:rPr>
        <w:t xml:space="preserve">  (A) </w:t>
      </w:r>
      <w:r w:rsidR="00B26571">
        <w:rPr>
          <w:rFonts w:ascii="Times" w:hAnsi="Times"/>
          <w:sz w:val="22"/>
          <w:szCs w:val="22"/>
          <w:u w:val="single"/>
        </w:rPr>
        <w:t>Each insurer that issues, delivers, or renews any</w:t>
      </w:r>
      <w:r w:rsidR="00D17F6E">
        <w:rPr>
          <w:rFonts w:ascii="Times" w:hAnsi="Times"/>
          <w:sz w:val="22"/>
          <w:szCs w:val="22"/>
          <w:u w:val="single"/>
        </w:rPr>
        <w:t xml:space="preserve"> individual or group accident and</w:t>
      </w:r>
      <w:r w:rsidR="00B26571">
        <w:rPr>
          <w:rFonts w:ascii="Times" w:hAnsi="Times"/>
          <w:sz w:val="22"/>
          <w:szCs w:val="22"/>
          <w:u w:val="single"/>
        </w:rPr>
        <w:t xml:space="preserve"> sickness policy that provides coverage for mental or emotional disorders or alcohol and drug abuse</w:t>
      </w:r>
      <w:r w:rsidR="009C7960">
        <w:rPr>
          <w:rFonts w:ascii="Times" w:hAnsi="Times"/>
          <w:sz w:val="22"/>
          <w:szCs w:val="22"/>
          <w:u w:val="single"/>
        </w:rPr>
        <w:t xml:space="preserve"> or addiction shall </w:t>
      </w:r>
      <w:r w:rsidR="009C7960" w:rsidRPr="009C7960">
        <w:rPr>
          <w:rFonts w:ascii="Times" w:hAnsi="Times"/>
          <w:sz w:val="22"/>
          <w:szCs w:val="22"/>
          <w:u w:val="single"/>
        </w:rPr>
        <w:t xml:space="preserve">submit an annual report to the </w:t>
      </w:r>
      <w:r w:rsidR="009C7960">
        <w:rPr>
          <w:rFonts w:ascii="Times" w:hAnsi="Times"/>
          <w:sz w:val="22"/>
          <w:szCs w:val="22"/>
          <w:u w:val="single"/>
        </w:rPr>
        <w:t>superintendent of insurance</w:t>
      </w:r>
      <w:r w:rsidR="009C7960" w:rsidRPr="009C7960">
        <w:rPr>
          <w:rFonts w:ascii="Times" w:hAnsi="Times"/>
          <w:sz w:val="22"/>
          <w:szCs w:val="22"/>
          <w:u w:val="single"/>
        </w:rPr>
        <w:t xml:space="preserve"> on or before </w:t>
      </w:r>
      <w:r w:rsidR="009C7960">
        <w:rPr>
          <w:rFonts w:ascii="Times" w:hAnsi="Times"/>
          <w:sz w:val="22"/>
          <w:szCs w:val="22"/>
          <w:u w:val="single"/>
        </w:rPr>
        <w:t>March 31</w:t>
      </w:r>
      <w:r w:rsidR="009C7960" w:rsidRPr="009C7960">
        <w:rPr>
          <w:rFonts w:ascii="Times" w:hAnsi="Times"/>
          <w:sz w:val="22"/>
          <w:szCs w:val="22"/>
          <w:u w:val="single"/>
          <w:vertAlign w:val="superscript"/>
        </w:rPr>
        <w:t>st</w:t>
      </w:r>
      <w:r w:rsidR="009C7960">
        <w:rPr>
          <w:rFonts w:ascii="Times" w:hAnsi="Times"/>
          <w:sz w:val="22"/>
          <w:szCs w:val="22"/>
          <w:u w:val="single"/>
        </w:rPr>
        <w:t>,</w:t>
      </w:r>
      <w:r w:rsidR="009C7960" w:rsidRPr="009C7960">
        <w:rPr>
          <w:rFonts w:ascii="Times" w:hAnsi="Times"/>
          <w:sz w:val="22"/>
          <w:szCs w:val="22"/>
          <w:u w:val="single"/>
        </w:rPr>
        <w:t xml:space="preserve"> that contains the following information:</w:t>
      </w:r>
    </w:p>
    <w:p w14:paraId="2680F298" w14:textId="77777777" w:rsidR="009C7960" w:rsidRPr="009C7960" w:rsidRDefault="009C7960" w:rsidP="009C7960">
      <w:pPr>
        <w:rPr>
          <w:rFonts w:ascii="Times" w:hAnsi="Times"/>
          <w:sz w:val="22"/>
          <w:szCs w:val="22"/>
          <w:u w:val="single"/>
        </w:rPr>
      </w:pPr>
      <w:r>
        <w:rPr>
          <w:rFonts w:ascii="Times" w:hAnsi="Times"/>
          <w:sz w:val="22"/>
          <w:szCs w:val="22"/>
          <w:u w:val="single"/>
        </w:rPr>
        <w:tab/>
        <w:t xml:space="preserve">(1) </w:t>
      </w:r>
      <w:r w:rsidRPr="009C7960">
        <w:rPr>
          <w:rFonts w:ascii="Times" w:hAnsi="Times"/>
          <w:sz w:val="22"/>
          <w:szCs w:val="22"/>
          <w:u w:val="single"/>
        </w:rPr>
        <w:t xml:space="preserve">A description of the process used to develop or select the medical necessity criteria for </w:t>
      </w:r>
      <w:r>
        <w:rPr>
          <w:rFonts w:ascii="Times" w:hAnsi="Times"/>
          <w:sz w:val="22"/>
          <w:szCs w:val="22"/>
          <w:u w:val="single"/>
        </w:rPr>
        <w:t>mental or emotional disorder or alcohol and drug abuse or addiction</w:t>
      </w:r>
      <w:r w:rsidRPr="009C7960">
        <w:rPr>
          <w:rFonts w:ascii="Times" w:hAnsi="Times"/>
          <w:sz w:val="22"/>
          <w:szCs w:val="22"/>
          <w:u w:val="single"/>
        </w:rPr>
        <w:t xml:space="preserve"> benefits and the process used to develop or select the medical necessity criteria for medical and surgical benefits. </w:t>
      </w:r>
    </w:p>
    <w:p w14:paraId="3BE78118" w14:textId="77777777" w:rsidR="009C7960" w:rsidRPr="009C7960" w:rsidRDefault="009C7960" w:rsidP="009C7960">
      <w:pPr>
        <w:ind w:firstLine="720"/>
        <w:rPr>
          <w:rFonts w:ascii="Times" w:hAnsi="Times"/>
          <w:sz w:val="22"/>
          <w:szCs w:val="22"/>
          <w:u w:val="single"/>
        </w:rPr>
      </w:pPr>
      <w:r>
        <w:rPr>
          <w:rFonts w:ascii="Times" w:hAnsi="Times"/>
          <w:sz w:val="22"/>
          <w:szCs w:val="22"/>
          <w:u w:val="single"/>
        </w:rPr>
        <w:t xml:space="preserve">(2) </w:t>
      </w:r>
      <w:r w:rsidRPr="009C7960">
        <w:rPr>
          <w:rFonts w:ascii="Times" w:hAnsi="Times"/>
          <w:sz w:val="22"/>
          <w:szCs w:val="22"/>
          <w:u w:val="single"/>
        </w:rPr>
        <w:t xml:space="preserve">Identification of all non-quantitative treatment limitations (NQTLs) that are applied to both </w:t>
      </w:r>
      <w:r>
        <w:rPr>
          <w:rFonts w:ascii="Times" w:hAnsi="Times"/>
          <w:sz w:val="22"/>
          <w:szCs w:val="22"/>
          <w:u w:val="single"/>
        </w:rPr>
        <w:t>mental or emotional disorder or alcohol and drug abuse or addiction</w:t>
      </w:r>
      <w:r w:rsidRPr="009C7960">
        <w:rPr>
          <w:rFonts w:ascii="Times" w:hAnsi="Times"/>
          <w:sz w:val="22"/>
          <w:szCs w:val="22"/>
          <w:u w:val="single"/>
        </w:rPr>
        <w:t xml:space="preserve"> benefits and medical and surgical benefits within each classification of benefits; there may be no separate NQTLs that apply to </w:t>
      </w:r>
      <w:r>
        <w:rPr>
          <w:rFonts w:ascii="Times" w:hAnsi="Times"/>
          <w:sz w:val="22"/>
          <w:szCs w:val="22"/>
          <w:u w:val="single"/>
        </w:rPr>
        <w:t>mental or emotional disorder or alcohol and drug abuse or addiction</w:t>
      </w:r>
      <w:r w:rsidRPr="009C7960">
        <w:rPr>
          <w:rFonts w:ascii="Times" w:hAnsi="Times"/>
          <w:sz w:val="22"/>
          <w:szCs w:val="22"/>
          <w:u w:val="single"/>
        </w:rPr>
        <w:t xml:space="preserve"> benefits but do not apply to medical and surgical benefits within any classification of benefits.</w:t>
      </w:r>
    </w:p>
    <w:p w14:paraId="3B504152" w14:textId="77777777" w:rsidR="009C7960" w:rsidRDefault="009C7960" w:rsidP="009C7960">
      <w:pPr>
        <w:ind w:firstLine="720"/>
        <w:rPr>
          <w:rFonts w:ascii="Times" w:hAnsi="Times"/>
          <w:sz w:val="22"/>
          <w:szCs w:val="22"/>
          <w:u w:val="single"/>
        </w:rPr>
      </w:pPr>
      <w:r>
        <w:rPr>
          <w:rFonts w:ascii="Times" w:hAnsi="Times"/>
          <w:sz w:val="22"/>
          <w:szCs w:val="22"/>
          <w:u w:val="single"/>
        </w:rPr>
        <w:t xml:space="preserve">(3) </w:t>
      </w:r>
      <w:r w:rsidRPr="009C7960">
        <w:rPr>
          <w:rFonts w:ascii="Times" w:hAnsi="Times"/>
          <w:sz w:val="22"/>
          <w:szCs w:val="22"/>
          <w:u w:val="single"/>
        </w:rPr>
        <w:t xml:space="preserve">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to </w:t>
      </w:r>
      <w:r>
        <w:rPr>
          <w:rFonts w:ascii="Times" w:hAnsi="Times"/>
          <w:sz w:val="22"/>
          <w:szCs w:val="22"/>
          <w:u w:val="single"/>
        </w:rPr>
        <w:t>mental or emotional disorder or alcohol and drug abuse or addiction</w:t>
      </w:r>
      <w:r w:rsidRPr="009C7960">
        <w:rPr>
          <w:rFonts w:ascii="Times" w:hAnsi="Times"/>
          <w:sz w:val="22"/>
          <w:szCs w:val="22"/>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10E6CB32" w14:textId="77777777" w:rsidR="009C7960" w:rsidRPr="009C7960" w:rsidRDefault="009C7960" w:rsidP="009C7960">
      <w:pPr>
        <w:ind w:firstLine="720"/>
        <w:rPr>
          <w:rFonts w:ascii="Times" w:hAnsi="Times"/>
          <w:sz w:val="22"/>
          <w:szCs w:val="22"/>
          <w:u w:val="single"/>
        </w:rPr>
      </w:pPr>
      <w:r>
        <w:rPr>
          <w:rFonts w:ascii="Times" w:hAnsi="Times"/>
          <w:sz w:val="22"/>
          <w:szCs w:val="22"/>
          <w:u w:val="single"/>
        </w:rPr>
        <w:t xml:space="preserve">(a) </w:t>
      </w:r>
      <w:r w:rsidRPr="009C7960">
        <w:rPr>
          <w:rFonts w:ascii="Times" w:hAnsi="Times"/>
          <w:sz w:val="22"/>
          <w:szCs w:val="22"/>
          <w:u w:val="single"/>
        </w:rPr>
        <w:t>Identify the factors used to determine that an NQTL will apply to a benefit, including factors that were considered but rejected</w:t>
      </w:r>
      <w:proofErr w:type="gramStart"/>
      <w:r>
        <w:rPr>
          <w:rFonts w:ascii="Times" w:hAnsi="Times"/>
          <w:sz w:val="22"/>
          <w:szCs w:val="22"/>
          <w:u w:val="single"/>
        </w:rPr>
        <w:t>;</w:t>
      </w:r>
      <w:proofErr w:type="gramEnd"/>
    </w:p>
    <w:p w14:paraId="010DFFEE" w14:textId="77777777" w:rsidR="009C7960" w:rsidRPr="009C7960" w:rsidRDefault="009C7960" w:rsidP="009C7960">
      <w:pPr>
        <w:ind w:firstLine="720"/>
        <w:rPr>
          <w:rFonts w:ascii="Times" w:hAnsi="Times"/>
          <w:sz w:val="22"/>
          <w:szCs w:val="22"/>
          <w:u w:val="single"/>
        </w:rPr>
      </w:pPr>
      <w:r>
        <w:rPr>
          <w:rFonts w:ascii="Times" w:hAnsi="Times"/>
          <w:sz w:val="22"/>
          <w:szCs w:val="22"/>
          <w:u w:val="single"/>
        </w:rPr>
        <w:t xml:space="preserve">(b) </w:t>
      </w:r>
      <w:r w:rsidRPr="009C7960">
        <w:rPr>
          <w:rFonts w:ascii="Times" w:hAnsi="Times"/>
          <w:sz w:val="22"/>
          <w:szCs w:val="22"/>
          <w:u w:val="single"/>
        </w:rPr>
        <w:t>Identify and define the specific evidentiary standards used to define the factors and any other evidence relied upon in designing each NQTL</w:t>
      </w:r>
      <w:r>
        <w:rPr>
          <w:rFonts w:ascii="Times" w:hAnsi="Times"/>
          <w:sz w:val="22"/>
          <w:szCs w:val="22"/>
          <w:u w:val="single"/>
        </w:rPr>
        <w:t>;</w:t>
      </w:r>
    </w:p>
    <w:p w14:paraId="111FFADF" w14:textId="77777777" w:rsidR="009C7960" w:rsidRPr="009C7960" w:rsidRDefault="009C7960" w:rsidP="009C7960">
      <w:pPr>
        <w:ind w:firstLine="720"/>
        <w:rPr>
          <w:rFonts w:ascii="Times" w:hAnsi="Times"/>
          <w:sz w:val="22"/>
          <w:szCs w:val="22"/>
          <w:u w:val="single"/>
        </w:rPr>
      </w:pPr>
      <w:r>
        <w:rPr>
          <w:rFonts w:ascii="Times" w:hAnsi="Times"/>
          <w:sz w:val="22"/>
          <w:szCs w:val="22"/>
          <w:u w:val="single"/>
        </w:rPr>
        <w:t xml:space="preserve">(c) </w:t>
      </w:r>
      <w:r w:rsidRPr="009C7960">
        <w:rPr>
          <w:rFonts w:ascii="Times" w:hAnsi="Times"/>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w:t>
      </w:r>
      <w:r>
        <w:rPr>
          <w:rFonts w:ascii="Times" w:hAnsi="Times"/>
          <w:sz w:val="22"/>
          <w:szCs w:val="22"/>
          <w:u w:val="single"/>
        </w:rPr>
        <w:t>mental or emotional disorder or alcohol and drug abuse or addiction</w:t>
      </w:r>
      <w:r w:rsidRPr="009C7960">
        <w:rPr>
          <w:rFonts w:ascii="Times" w:hAnsi="Times"/>
          <w:sz w:val="22"/>
          <w:szCs w:val="22"/>
          <w:u w:val="single"/>
        </w:rPr>
        <w:t xml:space="preserve"> benefits are comparable to, and are applied no more stringently than, the processes and strategies used to design each NQTL, as written, and the as written processes and strategies used to apply the NQTL to medical and surgical benefits</w:t>
      </w:r>
      <w:r>
        <w:rPr>
          <w:rFonts w:ascii="Times" w:hAnsi="Times"/>
          <w:sz w:val="22"/>
          <w:szCs w:val="22"/>
          <w:u w:val="single"/>
        </w:rPr>
        <w:t>;</w:t>
      </w:r>
    </w:p>
    <w:p w14:paraId="12E7F357" w14:textId="77777777" w:rsidR="009C7960" w:rsidRPr="009C7960" w:rsidRDefault="009C7960" w:rsidP="009C7960">
      <w:pPr>
        <w:ind w:firstLine="720"/>
        <w:rPr>
          <w:rFonts w:ascii="Times" w:hAnsi="Times"/>
          <w:sz w:val="22"/>
          <w:szCs w:val="22"/>
          <w:u w:val="single"/>
        </w:rPr>
      </w:pPr>
      <w:r>
        <w:rPr>
          <w:rFonts w:ascii="Times" w:hAnsi="Times"/>
          <w:sz w:val="22"/>
          <w:szCs w:val="22"/>
          <w:u w:val="single"/>
        </w:rPr>
        <w:lastRenderedPageBreak/>
        <w:t xml:space="preserve">(d) </w:t>
      </w:r>
      <w:r w:rsidRPr="009C7960">
        <w:rPr>
          <w:rFonts w:ascii="Times" w:hAnsi="Times"/>
          <w:sz w:val="22"/>
          <w:szCs w:val="22"/>
          <w:u w:val="single"/>
        </w:rPr>
        <w:t xml:space="preserve">Provide the comparative analyses, including the results of the analyses, performed to determine that the processes and strategies used to apply each NQTL, in operation, for </w:t>
      </w:r>
      <w:r>
        <w:rPr>
          <w:rFonts w:ascii="Times" w:hAnsi="Times"/>
          <w:sz w:val="22"/>
          <w:szCs w:val="22"/>
          <w:u w:val="single"/>
        </w:rPr>
        <w:t>mental or emotional disorder or alcohol and drug abuse or addiction</w:t>
      </w:r>
      <w:r w:rsidRPr="009C7960">
        <w:rPr>
          <w:rFonts w:ascii="Times" w:hAnsi="Times"/>
          <w:sz w:val="22"/>
          <w:szCs w:val="22"/>
          <w:u w:val="single"/>
        </w:rPr>
        <w:t xml:space="preserve"> benefits are comparable to, and are applied no more stringently than, the processes or strategies used to apply each NQTL, in operation, for medical and surgical benefits</w:t>
      </w:r>
      <w:r>
        <w:rPr>
          <w:rFonts w:ascii="Times" w:hAnsi="Times"/>
          <w:sz w:val="22"/>
          <w:szCs w:val="22"/>
          <w:u w:val="single"/>
        </w:rPr>
        <w:t>; and</w:t>
      </w:r>
    </w:p>
    <w:p w14:paraId="676F03AB" w14:textId="77777777" w:rsidR="009C7960" w:rsidRPr="009C7960" w:rsidRDefault="009C7960" w:rsidP="009C7960">
      <w:pPr>
        <w:ind w:firstLine="720"/>
        <w:rPr>
          <w:rFonts w:ascii="Times" w:hAnsi="Times"/>
          <w:sz w:val="22"/>
          <w:szCs w:val="22"/>
          <w:u w:val="single"/>
        </w:rPr>
      </w:pPr>
      <w:r>
        <w:rPr>
          <w:rFonts w:ascii="Times" w:hAnsi="Times"/>
          <w:sz w:val="22"/>
          <w:szCs w:val="22"/>
          <w:u w:val="single"/>
        </w:rPr>
        <w:t xml:space="preserve">(e) </w:t>
      </w:r>
      <w:r w:rsidRPr="009C7960">
        <w:rPr>
          <w:rFonts w:ascii="Times" w:hAnsi="Times"/>
          <w:sz w:val="22"/>
          <w:szCs w:val="22"/>
          <w:u w:val="single"/>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1829FC01" w14:textId="77777777" w:rsidR="009C7960" w:rsidRPr="00D90E05" w:rsidRDefault="009C7960" w:rsidP="00D90E05">
      <w:pPr>
        <w:rPr>
          <w:rFonts w:ascii="Times" w:hAnsi="Times"/>
          <w:sz w:val="22"/>
          <w:szCs w:val="22"/>
          <w:u w:val="single"/>
        </w:rPr>
      </w:pPr>
      <w:bookmarkStart w:id="0" w:name="_GoBack"/>
      <w:bookmarkEnd w:id="0"/>
    </w:p>
    <w:sectPr w:rsidR="009C7960" w:rsidRPr="00D90E05" w:rsidSect="00237415">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E195D" w14:textId="77777777" w:rsidR="00237415" w:rsidRDefault="00237415" w:rsidP="00237415">
      <w:r>
        <w:separator/>
      </w:r>
    </w:p>
  </w:endnote>
  <w:endnote w:type="continuationSeparator" w:id="0">
    <w:p w14:paraId="17FB2028" w14:textId="77777777" w:rsidR="00237415" w:rsidRDefault="00237415" w:rsidP="0023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82B90" w14:textId="77777777" w:rsidR="00237415" w:rsidRDefault="00237415" w:rsidP="00237415">
      <w:r>
        <w:separator/>
      </w:r>
    </w:p>
  </w:footnote>
  <w:footnote w:type="continuationSeparator" w:id="0">
    <w:p w14:paraId="5447A441" w14:textId="77777777" w:rsidR="00237415" w:rsidRDefault="00237415" w:rsidP="002374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F7B98" w14:textId="6753D3E3" w:rsidR="00237415" w:rsidRDefault="00237415">
    <w:pPr>
      <w:pStyle w:val="Header"/>
      <w:rPr>
        <w:rFonts w:ascii="Times" w:hAnsi="Times"/>
        <w:b/>
        <w:sz w:val="22"/>
        <w:szCs w:val="22"/>
      </w:rPr>
    </w:pPr>
    <w:r>
      <w:rPr>
        <w:rFonts w:ascii="Times" w:hAnsi="Times"/>
        <w:b/>
        <w:sz w:val="22"/>
        <w:szCs w:val="22"/>
      </w:rPr>
      <w:t>S.B. N.O. XXX</w:t>
    </w:r>
  </w:p>
  <w:p w14:paraId="66410982" w14:textId="2830020F" w:rsidR="00F465F6" w:rsidRPr="00237415" w:rsidRDefault="00F465F6">
    <w:pPr>
      <w:pStyle w:val="Header"/>
      <w:rPr>
        <w:rFonts w:ascii="Times" w:hAnsi="Times"/>
        <w:b/>
        <w:sz w:val="22"/>
        <w:szCs w:val="22"/>
      </w:rPr>
    </w:pPr>
    <w:r>
      <w:rPr>
        <w:rFonts w:ascii="Times" w:hAnsi="Times"/>
        <w:b/>
        <w:sz w:val="22"/>
        <w:szCs w:val="22"/>
      </w:rPr>
      <w:t>As Introduced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05"/>
    <w:rsid w:val="00021DE6"/>
    <w:rsid w:val="000B552D"/>
    <w:rsid w:val="000D1B31"/>
    <w:rsid w:val="000D35AA"/>
    <w:rsid w:val="00202113"/>
    <w:rsid w:val="00237415"/>
    <w:rsid w:val="002A5425"/>
    <w:rsid w:val="002B6763"/>
    <w:rsid w:val="003A3B56"/>
    <w:rsid w:val="004C1402"/>
    <w:rsid w:val="007467F1"/>
    <w:rsid w:val="00784134"/>
    <w:rsid w:val="007E7CC7"/>
    <w:rsid w:val="00824C90"/>
    <w:rsid w:val="008C43E4"/>
    <w:rsid w:val="009324D9"/>
    <w:rsid w:val="00943ED5"/>
    <w:rsid w:val="009C1C2D"/>
    <w:rsid w:val="009C7960"/>
    <w:rsid w:val="00A92B58"/>
    <w:rsid w:val="00B26571"/>
    <w:rsid w:val="00B76C82"/>
    <w:rsid w:val="00C34889"/>
    <w:rsid w:val="00C46184"/>
    <w:rsid w:val="00D06578"/>
    <w:rsid w:val="00D17F6E"/>
    <w:rsid w:val="00D90E05"/>
    <w:rsid w:val="00DF3C89"/>
    <w:rsid w:val="00E407D5"/>
    <w:rsid w:val="00F06F1C"/>
    <w:rsid w:val="00F15013"/>
    <w:rsid w:val="00F465F6"/>
    <w:rsid w:val="00F52023"/>
    <w:rsid w:val="00FB1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69AB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15"/>
    <w:pPr>
      <w:tabs>
        <w:tab w:val="center" w:pos="4320"/>
        <w:tab w:val="right" w:pos="8640"/>
      </w:tabs>
    </w:pPr>
  </w:style>
  <w:style w:type="character" w:customStyle="1" w:styleId="HeaderChar">
    <w:name w:val="Header Char"/>
    <w:basedOn w:val="DefaultParagraphFont"/>
    <w:link w:val="Header"/>
    <w:uiPriority w:val="99"/>
    <w:rsid w:val="00237415"/>
  </w:style>
  <w:style w:type="paragraph" w:styleId="Footer">
    <w:name w:val="footer"/>
    <w:basedOn w:val="Normal"/>
    <w:link w:val="FooterChar"/>
    <w:uiPriority w:val="99"/>
    <w:unhideWhenUsed/>
    <w:rsid w:val="00237415"/>
    <w:pPr>
      <w:tabs>
        <w:tab w:val="center" w:pos="4320"/>
        <w:tab w:val="right" w:pos="8640"/>
      </w:tabs>
    </w:pPr>
  </w:style>
  <w:style w:type="character" w:customStyle="1" w:styleId="FooterChar">
    <w:name w:val="Footer Char"/>
    <w:basedOn w:val="DefaultParagraphFont"/>
    <w:link w:val="Footer"/>
    <w:uiPriority w:val="99"/>
    <w:rsid w:val="002374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15"/>
    <w:pPr>
      <w:tabs>
        <w:tab w:val="center" w:pos="4320"/>
        <w:tab w:val="right" w:pos="8640"/>
      </w:tabs>
    </w:pPr>
  </w:style>
  <w:style w:type="character" w:customStyle="1" w:styleId="HeaderChar">
    <w:name w:val="Header Char"/>
    <w:basedOn w:val="DefaultParagraphFont"/>
    <w:link w:val="Header"/>
    <w:uiPriority w:val="99"/>
    <w:rsid w:val="00237415"/>
  </w:style>
  <w:style w:type="paragraph" w:styleId="Footer">
    <w:name w:val="footer"/>
    <w:basedOn w:val="Normal"/>
    <w:link w:val="FooterChar"/>
    <w:uiPriority w:val="99"/>
    <w:unhideWhenUsed/>
    <w:rsid w:val="00237415"/>
    <w:pPr>
      <w:tabs>
        <w:tab w:val="center" w:pos="4320"/>
        <w:tab w:val="right" w:pos="8640"/>
      </w:tabs>
    </w:pPr>
  </w:style>
  <w:style w:type="character" w:customStyle="1" w:styleId="FooterChar">
    <w:name w:val="Footer Char"/>
    <w:basedOn w:val="DefaultParagraphFont"/>
    <w:link w:val="Footer"/>
    <w:uiPriority w:val="99"/>
    <w:rsid w:val="0023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445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3307</Characters>
  <Application>Microsoft Macintosh Word</Application>
  <DocSecurity>0</DocSecurity>
  <Lines>27</Lines>
  <Paragraphs>7</Paragraphs>
  <ScaleCrop>false</ScaleCrop>
  <Company>Scattergood Foundation</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2018-08-26T17:33:00Z</dcterms:created>
  <dcterms:modified xsi:type="dcterms:W3CDTF">2018-08-26T17:34:00Z</dcterms:modified>
</cp:coreProperties>
</file>