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1E6B" w14:textId="7D0E60E1" w:rsidR="005F1B18" w:rsidRPr="005F1B18" w:rsidRDefault="005F1B18" w:rsidP="005F1B18">
      <w:pPr>
        <w:rPr>
          <w:rFonts w:ascii="Times" w:hAnsi="Times"/>
          <w:b/>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Pr="005F1B18">
        <w:rPr>
          <w:rFonts w:ascii="Times" w:hAnsi="Times"/>
          <w:b/>
          <w:sz w:val="22"/>
          <w:szCs w:val="22"/>
        </w:rPr>
        <w:tab/>
        <w:t>S.B. XXX</w:t>
      </w:r>
    </w:p>
    <w:p w14:paraId="4350E722" w14:textId="77777777" w:rsidR="005F1B18" w:rsidRDefault="005F1B18">
      <w:pPr>
        <w:rPr>
          <w:rFonts w:ascii="Times" w:hAnsi="Times"/>
          <w:sz w:val="22"/>
          <w:szCs w:val="22"/>
        </w:rPr>
      </w:pPr>
    </w:p>
    <w:p w14:paraId="2BE98212" w14:textId="0BFBEECE" w:rsidR="00202113" w:rsidRDefault="005F1B18">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7456" behindDoc="0" locked="0" layoutInCell="1" allowOverlap="1" wp14:anchorId="04D0A847" wp14:editId="5B051666">
                <wp:simplePos x="0" y="0"/>
                <wp:positionH relativeFrom="column">
                  <wp:posOffset>0</wp:posOffset>
                </wp:positionH>
                <wp:positionV relativeFrom="paragraph">
                  <wp:posOffset>114300</wp:posOffset>
                </wp:positionV>
                <wp:extent cx="53721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23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" strokeweight=".25pt">
                <v:shadow on="t" opacity="24903f" mv:blur="40000f" origin=",.5" offset="0,20000emu"/>
              </v:line>
            </w:pict>
          </mc:Fallback>
        </mc:AlternateContent>
      </w:r>
      <w:r>
        <w:rPr>
          <w:rFonts w:ascii="Times" w:hAnsi="Times"/>
          <w:noProof/>
          <w:sz w:val="22"/>
          <w:szCs w:val="22"/>
        </w:rPr>
        <mc:AlternateContent>
          <mc:Choice Requires="wps">
            <w:drawing>
              <wp:anchor distT="0" distB="0" distL="114300" distR="114300" simplePos="0" relativeHeight="251665408" behindDoc="0" locked="0" layoutInCell="1" allowOverlap="1" wp14:anchorId="17AD0D71" wp14:editId="051E187A">
                <wp:simplePos x="0" y="0"/>
                <wp:positionH relativeFrom="column">
                  <wp:posOffset>0</wp:posOffset>
                </wp:positionH>
                <wp:positionV relativeFrom="paragraph">
                  <wp:posOffset>0</wp:posOffset>
                </wp:positionV>
                <wp:extent cx="53721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" strokeweight=".25pt">
                <v:shadow on="t" opacity="24903f" mv:blur="40000f" origin=",.5" offset="0,20000emu"/>
              </v:line>
            </w:pict>
          </mc:Fallback>
        </mc:AlternateContent>
      </w:r>
    </w:p>
    <w:p w14:paraId="076E854C" w14:textId="73C5F2AE" w:rsidR="00E363FA" w:rsidRDefault="00E363FA" w:rsidP="00E363FA">
      <w:pPr>
        <w:jc w:val="center"/>
        <w:rPr>
          <w:rFonts w:ascii="Times" w:hAnsi="Times"/>
          <w:sz w:val="22"/>
          <w:szCs w:val="22"/>
        </w:rPr>
      </w:pPr>
      <w:r>
        <w:rPr>
          <w:rFonts w:ascii="Times" w:hAnsi="Times"/>
          <w:sz w:val="22"/>
          <w:szCs w:val="22"/>
        </w:rPr>
        <w:t xml:space="preserve">SENATE BILL NO. XXX—SENATORS______, _______, ______, </w:t>
      </w:r>
    </w:p>
    <w:p w14:paraId="323E8134" w14:textId="1BED0EFB" w:rsidR="00E363FA" w:rsidRDefault="00E363FA" w:rsidP="00E363FA">
      <w:pPr>
        <w:jc w:val="center"/>
        <w:rPr>
          <w:rFonts w:ascii="Times" w:hAnsi="Times"/>
          <w:sz w:val="22"/>
          <w:szCs w:val="22"/>
        </w:rPr>
      </w:pPr>
      <w:r>
        <w:rPr>
          <w:rFonts w:ascii="Times" w:hAnsi="Times"/>
          <w:sz w:val="22"/>
          <w:szCs w:val="22"/>
        </w:rPr>
        <w:t>MARCH XX, 2019</w:t>
      </w:r>
    </w:p>
    <w:p w14:paraId="138EACF2" w14:textId="378FD416" w:rsidR="007A2C59" w:rsidRDefault="00322025" w:rsidP="00E363FA">
      <w:pPr>
        <w:jc w:val="center"/>
        <w:rPr>
          <w:rFonts w:ascii="Times" w:hAnsi="Times"/>
          <w:sz w:val="22"/>
          <w:szCs w:val="22"/>
        </w:rPr>
      </w:pPr>
      <w:r>
        <w:rPr>
          <w:rFonts w:ascii="Times" w:hAnsi="Times"/>
          <w:noProof/>
          <w:sz w:val="22"/>
          <w:szCs w:val="22"/>
        </w:rPr>
        <mc:AlternateContent>
          <mc:Choice Requires="wps">
            <w:drawing>
              <wp:anchor distT="0" distB="0" distL="114300" distR="114300" simplePos="0" relativeHeight="251659264" behindDoc="0" locked="0" layoutInCell="1" allowOverlap="1" wp14:anchorId="23C829D5" wp14:editId="2B6AED71">
                <wp:simplePos x="0" y="0"/>
                <wp:positionH relativeFrom="column">
                  <wp:posOffset>2286000</wp:posOffset>
                </wp:positionH>
                <wp:positionV relativeFrom="paragraph">
                  <wp:posOffset>87630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952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pt,6.9pt" to="252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">
                <v:shadow on="t" opacity="24903f" mv:blur="40000f" origin=",.5" offset="0,20000emu"/>
              </v:line>
            </w:pict>
          </mc:Fallback>
        </mc:AlternateContent>
      </w:r>
    </w:p>
    <w:p w14:paraId="638D854C" w14:textId="18276D23" w:rsidR="007A2C59" w:rsidRDefault="007A2C59" w:rsidP="00322025">
      <w:pPr>
        <w:jc w:val="center"/>
        <w:rPr>
          <w:rFonts w:ascii="Times" w:hAnsi="Times"/>
          <w:sz w:val="22"/>
          <w:szCs w:val="22"/>
        </w:rPr>
      </w:pPr>
      <w:r>
        <w:rPr>
          <w:rFonts w:ascii="Times" w:hAnsi="Times"/>
          <w:sz w:val="22"/>
          <w:szCs w:val="22"/>
        </w:rPr>
        <w:t>Referred to Committee on Commerce, Labor and Energy</w:t>
      </w:r>
    </w:p>
    <w:p w14:paraId="44700459" w14:textId="77777777" w:rsidR="007A2C59" w:rsidRDefault="007A2C59" w:rsidP="007A2C59">
      <w:pPr>
        <w:rPr>
          <w:rFonts w:ascii="Times" w:hAnsi="Times"/>
          <w:sz w:val="22"/>
          <w:szCs w:val="22"/>
        </w:rPr>
      </w:pPr>
    </w:p>
    <w:p w14:paraId="1BCBF443" w14:textId="5A2A4CE1" w:rsidR="007A2C59" w:rsidRDefault="007A2C59" w:rsidP="007A2C59">
      <w:pPr>
        <w:rPr>
          <w:rFonts w:ascii="Times" w:hAnsi="Times"/>
          <w:sz w:val="22"/>
          <w:szCs w:val="22"/>
        </w:rPr>
      </w:pPr>
      <w:r>
        <w:rPr>
          <w:rFonts w:ascii="Times" w:hAnsi="Times"/>
          <w:sz w:val="22"/>
          <w:szCs w:val="22"/>
        </w:rPr>
        <w:t>SUMMARY—Revises provision relating to health insurance</w:t>
      </w:r>
      <w:r w:rsidR="0014621D">
        <w:rPr>
          <w:rFonts w:ascii="Times" w:hAnsi="Times"/>
          <w:sz w:val="22"/>
          <w:szCs w:val="22"/>
        </w:rPr>
        <w:t xml:space="preserve"> (BDR XX-XXX)</w:t>
      </w:r>
    </w:p>
    <w:p w14:paraId="23D4330D" w14:textId="77777777" w:rsidR="0014621D" w:rsidRDefault="0014621D" w:rsidP="007A2C59">
      <w:pPr>
        <w:rPr>
          <w:rFonts w:ascii="Times" w:hAnsi="Times"/>
          <w:sz w:val="22"/>
          <w:szCs w:val="22"/>
        </w:rPr>
      </w:pPr>
    </w:p>
    <w:p w14:paraId="1EB72F00" w14:textId="35A8F0DE" w:rsidR="0014621D" w:rsidRDefault="0014621D" w:rsidP="007A2C59">
      <w:pPr>
        <w:rPr>
          <w:rFonts w:ascii="Times" w:hAnsi="Times"/>
          <w:sz w:val="22"/>
          <w:szCs w:val="22"/>
        </w:rPr>
      </w:pPr>
      <w:r>
        <w:rPr>
          <w:rFonts w:ascii="Times" w:hAnsi="Times"/>
          <w:sz w:val="22"/>
          <w:szCs w:val="22"/>
        </w:rPr>
        <w:t>FISCAL NOTE: Effect on Local Government: No</w:t>
      </w:r>
    </w:p>
    <w:p w14:paraId="3D2DF7F1" w14:textId="023732F3" w:rsidR="000516E0" w:rsidRDefault="0014621D" w:rsidP="007A2C59">
      <w:pPr>
        <w:rPr>
          <w:rFonts w:ascii="Times" w:hAnsi="Times"/>
          <w:sz w:val="22"/>
          <w:szCs w:val="22"/>
        </w:rPr>
      </w:pPr>
      <w:r>
        <w:rPr>
          <w:rFonts w:ascii="Times" w:hAnsi="Times"/>
          <w:sz w:val="22"/>
          <w:szCs w:val="22"/>
        </w:rPr>
        <w:tab/>
      </w:r>
      <w:r>
        <w:rPr>
          <w:rFonts w:ascii="Times" w:hAnsi="Times"/>
          <w:sz w:val="22"/>
          <w:szCs w:val="22"/>
        </w:rPr>
        <w:tab/>
        <w:t xml:space="preserve"> Effect on State: </w:t>
      </w:r>
      <w:r w:rsidR="00A82C16">
        <w:rPr>
          <w:rFonts w:ascii="Times" w:hAnsi="Times"/>
          <w:sz w:val="22"/>
          <w:szCs w:val="22"/>
        </w:rPr>
        <w:t>No</w:t>
      </w:r>
    </w:p>
    <w:p w14:paraId="22A84148" w14:textId="77777777" w:rsidR="000B21DC" w:rsidRDefault="000B21DC" w:rsidP="007A2C59">
      <w:pPr>
        <w:rPr>
          <w:rFonts w:ascii="Times" w:hAnsi="Times"/>
          <w:sz w:val="22"/>
          <w:szCs w:val="22"/>
        </w:rPr>
      </w:pPr>
    </w:p>
    <w:p w14:paraId="2BDD3CBA" w14:textId="77777777" w:rsidR="000B21DC" w:rsidRDefault="000B21DC" w:rsidP="007A2C59">
      <w:pPr>
        <w:rPr>
          <w:rFonts w:ascii="Times" w:hAnsi="Times"/>
          <w:sz w:val="22"/>
          <w:szCs w:val="22"/>
        </w:rPr>
      </w:pPr>
    </w:p>
    <w:p w14:paraId="00BCA69E" w14:textId="77777777" w:rsidR="000516E0" w:rsidRDefault="000516E0" w:rsidP="007A2C59">
      <w:pPr>
        <w:rPr>
          <w:rFonts w:ascii="Times" w:hAnsi="Times"/>
          <w:sz w:val="22"/>
          <w:szCs w:val="22"/>
        </w:rPr>
      </w:pPr>
    </w:p>
    <w:p w14:paraId="5F4D4652" w14:textId="77777777" w:rsidR="000516E0" w:rsidRPr="000516E0" w:rsidRDefault="000516E0" w:rsidP="000516E0">
      <w:pPr>
        <w:rPr>
          <w:rFonts w:ascii="Times" w:eastAsia="Times New Roman" w:hAnsi="Times" w:cs="Times New Roman"/>
          <w:sz w:val="16"/>
          <w:szCs w:val="16"/>
        </w:rPr>
      </w:pPr>
      <w:r w:rsidRPr="000516E0">
        <w:rPr>
          <w:rFonts w:ascii="Times" w:eastAsia="Times New Roman" w:hAnsi="Times" w:cs="Times New Roman"/>
          <w:sz w:val="16"/>
          <w:szCs w:val="16"/>
        </w:rPr>
        <w:t xml:space="preserve">EXPLANATION – Matter in </w:t>
      </w:r>
      <w:r w:rsidRPr="000516E0">
        <w:rPr>
          <w:rFonts w:ascii="Times" w:eastAsia="Times New Roman" w:hAnsi="Times" w:cs="Times New Roman"/>
          <w:b/>
          <w:i/>
          <w:color w:val="0000FF"/>
          <w:sz w:val="16"/>
          <w:szCs w:val="16"/>
        </w:rPr>
        <w:t>bolded italics</w:t>
      </w:r>
      <w:r w:rsidRPr="000516E0">
        <w:rPr>
          <w:rFonts w:ascii="Times" w:eastAsia="Times New Roman" w:hAnsi="Times" w:cs="Times New Roman"/>
          <w:sz w:val="16"/>
          <w:szCs w:val="16"/>
        </w:rPr>
        <w:t xml:space="preserve"> is new; matter between brackets [</w:t>
      </w:r>
      <w:r w:rsidRPr="000516E0">
        <w:rPr>
          <w:rFonts w:ascii="Times" w:eastAsia="Times New Roman" w:hAnsi="Times" w:cs="Times New Roman"/>
          <w:strike/>
          <w:color w:val="FF0000"/>
          <w:sz w:val="16"/>
          <w:szCs w:val="16"/>
        </w:rPr>
        <w:t>omitted material</w:t>
      </w:r>
      <w:r w:rsidRPr="000516E0">
        <w:rPr>
          <w:rFonts w:ascii="Times" w:eastAsia="Times New Roman" w:hAnsi="Times" w:cs="Times New Roman"/>
          <w:sz w:val="16"/>
          <w:szCs w:val="16"/>
        </w:rPr>
        <w:t>] is material to be omitted.</w:t>
      </w:r>
    </w:p>
    <w:p w14:paraId="2D2D3623" w14:textId="278DA9ED" w:rsidR="0014621D" w:rsidRDefault="0014621D" w:rsidP="007A2C59">
      <w:pPr>
        <w:rPr>
          <w:rFonts w:ascii="Times" w:hAnsi="Times"/>
          <w:sz w:val="22"/>
          <w:szCs w:val="22"/>
        </w:rPr>
      </w:pPr>
      <w:r>
        <w:rPr>
          <w:rFonts w:ascii="Times" w:hAnsi="Times"/>
          <w:sz w:val="22"/>
          <w:szCs w:val="22"/>
        </w:rPr>
        <w:tab/>
      </w:r>
    </w:p>
    <w:p w14:paraId="35FC5D99" w14:textId="6FA4D1CB" w:rsidR="00E363FA" w:rsidRDefault="004E7D4A">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1312" behindDoc="0" locked="0" layoutInCell="1" allowOverlap="1" wp14:anchorId="2111502F" wp14:editId="5DB7462A">
                <wp:simplePos x="0" y="0"/>
                <wp:positionH relativeFrom="column">
                  <wp:posOffset>0</wp:posOffset>
                </wp:positionH>
                <wp:positionV relativeFrom="paragraph">
                  <wp:posOffset>4445</wp:posOffset>
                </wp:positionV>
                <wp:extent cx="5372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pt" to="423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" strokeweight="1.25pt">
                <v:shadow on="t" opacity="24903f" mv:blur="40000f" origin=",.5" offset="0,20000emu"/>
              </v:line>
            </w:pict>
          </mc:Fallback>
        </mc:AlternateContent>
      </w:r>
    </w:p>
    <w:p w14:paraId="382FC508" w14:textId="763954E5" w:rsidR="00BE41A5" w:rsidRDefault="00E73D5A" w:rsidP="00E73D5A">
      <w:pPr>
        <w:ind w:left="864" w:hanging="864"/>
        <w:rPr>
          <w:rFonts w:ascii="Times" w:hAnsi="Times"/>
          <w:sz w:val="22"/>
          <w:szCs w:val="22"/>
        </w:rPr>
      </w:pPr>
      <w:r>
        <w:rPr>
          <w:rFonts w:ascii="Times" w:hAnsi="Times"/>
          <w:sz w:val="22"/>
          <w:szCs w:val="22"/>
        </w:rPr>
        <w:t xml:space="preserve">AN ACT relating to insurance; </w:t>
      </w:r>
      <w:r w:rsidR="00922043">
        <w:rPr>
          <w:rFonts w:ascii="Times" w:hAnsi="Times"/>
          <w:sz w:val="22"/>
          <w:szCs w:val="22"/>
        </w:rPr>
        <w:t xml:space="preserve">specifications for </w:t>
      </w:r>
      <w:r w:rsidR="003A237A">
        <w:rPr>
          <w:rFonts w:ascii="Times" w:hAnsi="Times"/>
          <w:sz w:val="22"/>
          <w:szCs w:val="22"/>
        </w:rPr>
        <w:t>reimbursement of benefits provided through the psychiatric Collaborative Care Model service delivery method.</w:t>
      </w:r>
    </w:p>
    <w:p w14:paraId="1BA68B3E" w14:textId="77777777" w:rsidR="00BE41A5" w:rsidRDefault="00BE41A5">
      <w:pPr>
        <w:rPr>
          <w:rFonts w:ascii="Times" w:hAnsi="Times"/>
          <w:sz w:val="22"/>
          <w:szCs w:val="22"/>
        </w:rPr>
      </w:pPr>
    </w:p>
    <w:p w14:paraId="44C13B13" w14:textId="0E31D26B" w:rsidR="00062B92" w:rsidRPr="000516E0" w:rsidRDefault="00062B92">
      <w:pPr>
        <w:rPr>
          <w:rFonts w:ascii="Times" w:hAnsi="Times"/>
          <w:b/>
          <w:sz w:val="20"/>
          <w:szCs w:val="20"/>
        </w:rPr>
      </w:pPr>
      <w:r w:rsidRPr="000516E0">
        <w:rPr>
          <w:rFonts w:ascii="Times" w:hAnsi="Times"/>
          <w:b/>
          <w:sz w:val="20"/>
          <w:szCs w:val="20"/>
        </w:rPr>
        <w:t>Legislative Counsel’s Digest:</w:t>
      </w:r>
    </w:p>
    <w:p w14:paraId="2861FFC1" w14:textId="06CFBE2F" w:rsidR="00062B92" w:rsidRPr="000516E0" w:rsidRDefault="00062B92">
      <w:pPr>
        <w:rPr>
          <w:rFonts w:ascii="Times" w:hAnsi="Times"/>
          <w:sz w:val="20"/>
          <w:szCs w:val="20"/>
        </w:rPr>
      </w:pPr>
      <w:r w:rsidRPr="000516E0">
        <w:rPr>
          <w:rFonts w:ascii="Times" w:hAnsi="Times"/>
          <w:sz w:val="20"/>
          <w:szCs w:val="20"/>
        </w:rPr>
        <w:tab/>
      </w:r>
      <w:r w:rsidR="003A7D4C" w:rsidRPr="000516E0">
        <w:rPr>
          <w:rFonts w:ascii="Times" w:hAnsi="Times"/>
          <w:b/>
          <w:sz w:val="20"/>
          <w:szCs w:val="20"/>
        </w:rPr>
        <w:t>Section 1</w:t>
      </w:r>
      <w:r w:rsidR="003A7D4C" w:rsidRPr="000516E0">
        <w:rPr>
          <w:rFonts w:ascii="Times" w:hAnsi="Times"/>
          <w:sz w:val="20"/>
          <w:szCs w:val="20"/>
        </w:rPr>
        <w:t xml:space="preserve"> of this bill requires </w:t>
      </w:r>
      <w:r w:rsidR="00470FAA">
        <w:rPr>
          <w:rFonts w:ascii="Times" w:hAnsi="Times"/>
          <w:sz w:val="20"/>
          <w:szCs w:val="20"/>
        </w:rPr>
        <w:t>health carriers</w:t>
      </w:r>
      <w:r w:rsidR="003A7D4C" w:rsidRPr="000516E0">
        <w:rPr>
          <w:rFonts w:ascii="Times" w:hAnsi="Times"/>
          <w:sz w:val="20"/>
          <w:szCs w:val="20"/>
        </w:rPr>
        <w:t xml:space="preserve"> to </w:t>
      </w:r>
      <w:r w:rsidR="00470FAA">
        <w:rPr>
          <w:rFonts w:ascii="Times" w:hAnsi="Times"/>
          <w:sz w:val="20"/>
          <w:szCs w:val="20"/>
        </w:rPr>
        <w:t>that provide mental health and substance use disorder benefits to reimburse for such benefits that are provided through the psychiatric Collaborative Care Model service delivery method</w:t>
      </w:r>
      <w:r w:rsidR="003A7D4C" w:rsidRPr="000516E0">
        <w:rPr>
          <w:rFonts w:ascii="Times" w:hAnsi="Times"/>
          <w:sz w:val="20"/>
          <w:szCs w:val="20"/>
        </w:rPr>
        <w:t xml:space="preserve">. </w:t>
      </w:r>
    </w:p>
    <w:p w14:paraId="5F387A00" w14:textId="0D1041B2" w:rsidR="00BE41A5" w:rsidRDefault="00BE41A5">
      <w:pPr>
        <w:rPr>
          <w:rFonts w:ascii="Times" w:hAnsi="Times"/>
          <w:sz w:val="22"/>
          <w:szCs w:val="22"/>
        </w:rPr>
      </w:pPr>
    </w:p>
    <w:p w14:paraId="3AE0CDD6" w14:textId="43B4FFC3" w:rsidR="00761083" w:rsidRDefault="00761083">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3360" behindDoc="0" locked="0" layoutInCell="1" allowOverlap="1" wp14:anchorId="46BB21A2" wp14:editId="538D75D1">
                <wp:simplePos x="0" y="0"/>
                <wp:positionH relativeFrom="column">
                  <wp:posOffset>-114300</wp:posOffset>
                </wp:positionH>
                <wp:positionV relativeFrom="paragraph">
                  <wp:posOffset>20320</wp:posOffset>
                </wp:positionV>
                <wp:extent cx="54864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6pt" to="423.0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" strokeweight="1.25pt">
                <v:shadow on="t" opacity="24903f" mv:blur="40000f" origin=",.5" offset="0,20000emu"/>
              </v:line>
            </w:pict>
          </mc:Fallback>
        </mc:AlternateContent>
      </w:r>
    </w:p>
    <w:p w14:paraId="14AD3FD9" w14:textId="77777777" w:rsidR="00BE41A5" w:rsidRPr="00BE41A5" w:rsidRDefault="00BE41A5" w:rsidP="00BE41A5">
      <w:pPr>
        <w:ind w:left="720" w:hanging="720"/>
        <w:rPr>
          <w:rFonts w:ascii="Times" w:eastAsia="Times New Roman" w:hAnsi="Times" w:cs="Times New Roman"/>
          <w:sz w:val="22"/>
          <w:szCs w:val="22"/>
        </w:rPr>
      </w:pPr>
      <w:r w:rsidRPr="00BE41A5">
        <w:rPr>
          <w:rFonts w:ascii="Times" w:eastAsia="Times New Roman" w:hAnsi="Times" w:cs="Times New Roman"/>
          <w:sz w:val="22"/>
          <w:szCs w:val="22"/>
        </w:rPr>
        <w:t>THE PEOPLE OF THE STATE OF NEVADA, REPRESENTED IN SENATE AND ASSEMBLY, DO ENACT AS FOLLOWS:</w:t>
      </w:r>
    </w:p>
    <w:p w14:paraId="799B0655" w14:textId="366A9080" w:rsidR="00893A98" w:rsidRPr="001315A1" w:rsidRDefault="00893A98" w:rsidP="00850E28">
      <w:pPr>
        <w:rPr>
          <w:rFonts w:ascii="Times" w:eastAsia="Times New Roman" w:hAnsi="Times" w:cs="Times New Roman"/>
          <w:b/>
          <w:i/>
          <w:color w:val="0000FF"/>
          <w:sz w:val="22"/>
          <w:szCs w:val="22"/>
        </w:rPr>
      </w:pPr>
    </w:p>
    <w:p w14:paraId="1D35C2B7" w14:textId="64AEC9BD" w:rsidR="00AC5A26" w:rsidRDefault="00AC5A26" w:rsidP="00AC5A26">
      <w:pPr>
        <w:rPr>
          <w:rFonts w:ascii="Times" w:eastAsia="Times New Roman" w:hAnsi="Times" w:cs="Times New Roman"/>
          <w:sz w:val="22"/>
          <w:szCs w:val="22"/>
        </w:rPr>
      </w:pPr>
      <w:r w:rsidRPr="00423065">
        <w:rPr>
          <w:rFonts w:ascii="Times" w:eastAsia="Times New Roman" w:hAnsi="Times" w:cs="Times New Roman"/>
          <w:b/>
          <w:sz w:val="22"/>
          <w:szCs w:val="22"/>
        </w:rPr>
        <w:t>Sec</w:t>
      </w:r>
      <w:r>
        <w:rPr>
          <w:rFonts w:ascii="Times" w:eastAsia="Times New Roman" w:hAnsi="Times" w:cs="Times New Roman"/>
          <w:b/>
          <w:sz w:val="22"/>
          <w:szCs w:val="22"/>
        </w:rPr>
        <w:t>tion. 1</w:t>
      </w:r>
      <w:r w:rsidRPr="00423065">
        <w:rPr>
          <w:rFonts w:ascii="Times" w:eastAsia="Times New Roman" w:hAnsi="Times" w:cs="Times New Roman"/>
          <w:b/>
          <w:sz w:val="22"/>
          <w:szCs w:val="22"/>
        </w:rPr>
        <w:t>.</w:t>
      </w:r>
      <w:r>
        <w:rPr>
          <w:rFonts w:ascii="Times" w:eastAsia="Times New Roman" w:hAnsi="Times" w:cs="Times New Roman"/>
          <w:sz w:val="22"/>
          <w:szCs w:val="22"/>
        </w:rPr>
        <w:t xml:space="preserve"> Chapter 687B</w:t>
      </w:r>
      <w:r w:rsidRPr="00423065">
        <w:rPr>
          <w:rFonts w:ascii="Times" w:eastAsia="Times New Roman" w:hAnsi="Times" w:cs="Times New Roman"/>
          <w:sz w:val="22"/>
          <w:szCs w:val="22"/>
        </w:rPr>
        <w:t xml:space="preserve"> of NR</w:t>
      </w:r>
      <w:r>
        <w:rPr>
          <w:rFonts w:ascii="Times" w:eastAsia="Times New Roman" w:hAnsi="Times" w:cs="Times New Roman"/>
          <w:sz w:val="22"/>
          <w:szCs w:val="22"/>
        </w:rPr>
        <w:t>S is hereby amended by adding</w:t>
      </w:r>
      <w:r w:rsidRPr="00423065">
        <w:rPr>
          <w:rFonts w:ascii="Times" w:eastAsia="Times New Roman" w:hAnsi="Times" w:cs="Times New Roman"/>
          <w:sz w:val="22"/>
          <w:szCs w:val="22"/>
        </w:rPr>
        <w:t xml:space="preserve"> thereto a new section to read as follows:</w:t>
      </w:r>
    </w:p>
    <w:p w14:paraId="6DABEF68" w14:textId="7617B1F5" w:rsidR="00DC4F69" w:rsidRDefault="00602CD2" w:rsidP="00DC4F69">
      <w:pPr>
        <w:ind w:firstLine="720"/>
        <w:rPr>
          <w:rFonts w:ascii="Times" w:hAnsi="Times"/>
          <w:b/>
          <w:i/>
          <w:color w:val="0000FF"/>
          <w:sz w:val="22"/>
          <w:szCs w:val="22"/>
        </w:rPr>
      </w:pPr>
      <w:r w:rsidRPr="008352D2">
        <w:rPr>
          <w:rFonts w:ascii="Times" w:hAnsi="Times"/>
          <w:b/>
          <w:i/>
          <w:color w:val="0000FF"/>
          <w:sz w:val="22"/>
          <w:szCs w:val="22"/>
        </w:rPr>
        <w:t>1.</w:t>
      </w:r>
      <w:r w:rsidR="00AC5A26">
        <w:rPr>
          <w:rFonts w:ascii="Times" w:hAnsi="Times"/>
          <w:b/>
          <w:i/>
          <w:color w:val="0000FF"/>
          <w:sz w:val="22"/>
          <w:szCs w:val="22"/>
        </w:rPr>
        <w:t xml:space="preserve"> Any health carrier that issues a health benefit plan</w:t>
      </w:r>
      <w:r w:rsidR="004166B1">
        <w:rPr>
          <w:rFonts w:ascii="Times" w:hAnsi="Times"/>
          <w:b/>
          <w:i/>
          <w:color w:val="0000FF"/>
          <w:sz w:val="22"/>
          <w:szCs w:val="22"/>
        </w:rPr>
        <w:t xml:space="preserve"> pursuant to chapters 689A, </w:t>
      </w:r>
      <w:r w:rsidR="004166B1" w:rsidRPr="00D031D2">
        <w:rPr>
          <w:rFonts w:ascii="Times" w:hAnsi="Times"/>
          <w:b/>
          <w:i/>
          <w:color w:val="0000FF"/>
          <w:sz w:val="22"/>
          <w:szCs w:val="22"/>
        </w:rPr>
        <w:t>689B,</w:t>
      </w:r>
      <w:r w:rsidR="004166B1">
        <w:rPr>
          <w:rFonts w:ascii="Times" w:hAnsi="Times"/>
          <w:b/>
          <w:i/>
          <w:color w:val="0000FF"/>
          <w:sz w:val="22"/>
          <w:szCs w:val="22"/>
        </w:rPr>
        <w:t xml:space="preserve"> 689C,</w:t>
      </w:r>
      <w:r w:rsidR="004166B1" w:rsidRPr="00D031D2">
        <w:rPr>
          <w:rFonts w:ascii="Times" w:hAnsi="Times"/>
          <w:b/>
          <w:i/>
          <w:color w:val="0000FF"/>
          <w:sz w:val="22"/>
          <w:szCs w:val="22"/>
        </w:rPr>
        <w:t xml:space="preserve"> 695A, 695B, 695C</w:t>
      </w:r>
      <w:r w:rsidR="004166B1">
        <w:rPr>
          <w:rFonts w:ascii="Times" w:hAnsi="Times"/>
          <w:b/>
          <w:i/>
          <w:color w:val="0000FF"/>
          <w:sz w:val="22"/>
          <w:szCs w:val="22"/>
        </w:rPr>
        <w:t>, 695G</w:t>
      </w:r>
      <w:r w:rsidR="00DF3284">
        <w:rPr>
          <w:rFonts w:ascii="Times" w:hAnsi="Times"/>
          <w:b/>
          <w:i/>
          <w:color w:val="0000FF"/>
          <w:sz w:val="22"/>
          <w:szCs w:val="22"/>
        </w:rPr>
        <w:t>,</w:t>
      </w:r>
      <w:r w:rsidR="004166B1" w:rsidRPr="00D031D2">
        <w:rPr>
          <w:rFonts w:ascii="Times" w:hAnsi="Times"/>
          <w:b/>
          <w:i/>
          <w:color w:val="0000FF"/>
          <w:sz w:val="22"/>
          <w:szCs w:val="22"/>
        </w:rPr>
        <w:t xml:space="preserve"> 695F</w:t>
      </w:r>
      <w:r w:rsidR="00DF3284">
        <w:rPr>
          <w:rFonts w:ascii="Times" w:hAnsi="Times"/>
          <w:b/>
          <w:i/>
          <w:color w:val="0000FF"/>
          <w:sz w:val="22"/>
          <w:szCs w:val="22"/>
        </w:rPr>
        <w:t>, or 287</w:t>
      </w:r>
      <w:r w:rsidR="004166B1" w:rsidRPr="00D031D2">
        <w:rPr>
          <w:rFonts w:ascii="Times" w:hAnsi="Times"/>
          <w:b/>
          <w:i/>
          <w:color w:val="0000FF"/>
          <w:sz w:val="22"/>
          <w:szCs w:val="22"/>
        </w:rPr>
        <w:t xml:space="preserve"> of NRS</w:t>
      </w:r>
      <w:r w:rsidR="00AC5A26">
        <w:rPr>
          <w:rFonts w:ascii="Times" w:hAnsi="Times"/>
          <w:b/>
          <w:i/>
          <w:color w:val="0000FF"/>
          <w:sz w:val="22"/>
          <w:szCs w:val="22"/>
        </w:rPr>
        <w:t xml:space="preserve"> that provides</w:t>
      </w:r>
      <w:r w:rsidR="00DC4F69">
        <w:rPr>
          <w:rFonts w:ascii="Times" w:hAnsi="Times"/>
          <w:b/>
          <w:i/>
          <w:color w:val="0000FF"/>
          <w:sz w:val="22"/>
          <w:szCs w:val="22"/>
        </w:rPr>
        <w:t xml:space="preserve"> mental health or </w:t>
      </w:r>
      <w:r w:rsidR="00224EF6">
        <w:rPr>
          <w:rFonts w:ascii="Times" w:hAnsi="Times"/>
          <w:b/>
          <w:i/>
          <w:color w:val="0000FF"/>
          <w:sz w:val="22"/>
          <w:szCs w:val="22"/>
        </w:rPr>
        <w:t>substance use disorder</w:t>
      </w:r>
      <w:r w:rsidR="00DC4F69">
        <w:rPr>
          <w:rFonts w:ascii="Times" w:hAnsi="Times"/>
          <w:b/>
          <w:i/>
          <w:color w:val="0000FF"/>
          <w:sz w:val="22"/>
          <w:szCs w:val="22"/>
        </w:rPr>
        <w:t xml:space="preserve"> benefits shall </w:t>
      </w:r>
      <w:r w:rsidR="00DC4F69" w:rsidRPr="00DC4F69">
        <w:rPr>
          <w:rFonts w:ascii="Times" w:hAnsi="Times"/>
          <w:b/>
          <w:i/>
          <w:color w:val="0000FF"/>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p>
    <w:p w14:paraId="6A2738EF" w14:textId="714C54C9" w:rsidR="00DC4F69" w:rsidRDefault="00DC4F69" w:rsidP="00602CD2">
      <w:pPr>
        <w:rPr>
          <w:rFonts w:ascii="Times" w:hAnsi="Times"/>
          <w:b/>
          <w:i/>
          <w:color w:val="0000FF"/>
          <w:sz w:val="22"/>
          <w:szCs w:val="22"/>
        </w:rPr>
      </w:pPr>
      <w:r>
        <w:rPr>
          <w:rFonts w:ascii="Times" w:hAnsi="Times"/>
          <w:b/>
          <w:i/>
          <w:color w:val="0000FF"/>
          <w:sz w:val="22"/>
          <w:szCs w:val="22"/>
        </w:rPr>
        <w:tab/>
        <w:t>(a) 99492;</w:t>
      </w:r>
      <w:r w:rsidR="00C838C7">
        <w:rPr>
          <w:rFonts w:ascii="Times" w:hAnsi="Times"/>
          <w:b/>
          <w:i/>
          <w:color w:val="0000FF"/>
          <w:sz w:val="22"/>
          <w:szCs w:val="22"/>
        </w:rPr>
        <w:t xml:space="preserve"> </w:t>
      </w:r>
    </w:p>
    <w:p w14:paraId="4BE511E7" w14:textId="77777777" w:rsidR="00DC4F69" w:rsidRDefault="00DC4F69" w:rsidP="00602CD2">
      <w:pPr>
        <w:rPr>
          <w:rFonts w:ascii="Times" w:hAnsi="Times"/>
          <w:b/>
          <w:i/>
          <w:color w:val="0000FF"/>
          <w:sz w:val="22"/>
          <w:szCs w:val="22"/>
        </w:rPr>
      </w:pPr>
      <w:r>
        <w:rPr>
          <w:rFonts w:ascii="Times" w:hAnsi="Times"/>
          <w:b/>
          <w:i/>
          <w:color w:val="0000FF"/>
          <w:sz w:val="22"/>
          <w:szCs w:val="22"/>
        </w:rPr>
        <w:tab/>
        <w:t>(b) 99493;</w:t>
      </w:r>
    </w:p>
    <w:p w14:paraId="185DA459" w14:textId="18CEA83A" w:rsidR="00C838C7" w:rsidRPr="00C533CD" w:rsidRDefault="00DC4F69" w:rsidP="00602CD2">
      <w:pPr>
        <w:rPr>
          <w:rFonts w:ascii="Times" w:hAnsi="Times"/>
          <w:b/>
          <w:i/>
          <w:color w:val="0000FF"/>
          <w:sz w:val="22"/>
          <w:szCs w:val="22"/>
        </w:rPr>
      </w:pPr>
      <w:r>
        <w:rPr>
          <w:rFonts w:ascii="Times" w:hAnsi="Times"/>
          <w:b/>
          <w:i/>
          <w:color w:val="0000FF"/>
          <w:sz w:val="22"/>
          <w:szCs w:val="22"/>
        </w:rPr>
        <w:tab/>
        <w:t>(c) 99494;</w:t>
      </w:r>
      <w:r w:rsidR="00C533CD">
        <w:rPr>
          <w:rFonts w:ascii="Times" w:hAnsi="Times"/>
          <w:b/>
          <w:i/>
          <w:color w:val="0000FF"/>
          <w:sz w:val="22"/>
          <w:szCs w:val="22"/>
        </w:rPr>
        <w:t xml:space="preserve"> </w:t>
      </w:r>
      <w:r>
        <w:rPr>
          <w:rFonts w:ascii="Times" w:hAnsi="Times"/>
          <w:b/>
          <w:i/>
          <w:color w:val="0000FF"/>
          <w:sz w:val="22"/>
          <w:szCs w:val="22"/>
        </w:rPr>
        <w:t>and</w:t>
      </w:r>
      <w:r w:rsidR="00602CD2">
        <w:rPr>
          <w:rFonts w:ascii="Times" w:hAnsi="Times"/>
          <w:i/>
          <w:color w:val="0000FF"/>
          <w:sz w:val="22"/>
          <w:szCs w:val="22"/>
        </w:rPr>
        <w:t xml:space="preserve"> </w:t>
      </w:r>
    </w:p>
    <w:p w14:paraId="72A92B74" w14:textId="7DA29B8D" w:rsidR="00C838C7" w:rsidRDefault="00C838C7" w:rsidP="00602CD2">
      <w:pPr>
        <w:rPr>
          <w:rFonts w:ascii="Times" w:hAnsi="Times"/>
          <w:b/>
          <w:i/>
          <w:color w:val="0000FF"/>
          <w:sz w:val="22"/>
          <w:szCs w:val="22"/>
        </w:rPr>
      </w:pPr>
      <w:r>
        <w:rPr>
          <w:rFonts w:ascii="Times" w:hAnsi="Times"/>
          <w:i/>
          <w:color w:val="0000FF"/>
          <w:sz w:val="22"/>
          <w:szCs w:val="22"/>
        </w:rPr>
        <w:tab/>
      </w:r>
      <w:r w:rsidR="00C533CD">
        <w:rPr>
          <w:rFonts w:ascii="Times" w:hAnsi="Times"/>
          <w:b/>
          <w:i/>
          <w:color w:val="0000FF"/>
          <w:sz w:val="22"/>
          <w:szCs w:val="22"/>
        </w:rPr>
        <w:t>(d</w:t>
      </w:r>
      <w:r w:rsidRPr="00C838C7">
        <w:rPr>
          <w:rFonts w:ascii="Times" w:hAnsi="Times"/>
          <w:b/>
          <w:i/>
          <w:color w:val="0000FF"/>
          <w:sz w:val="22"/>
          <w:szCs w:val="22"/>
        </w:rPr>
        <w:t>) The Commissioner shall update this list of codes if there are any alterations or additions to the billing codes for the Collaborative Care Model</w:t>
      </w:r>
      <w:r w:rsidR="00C533CD">
        <w:rPr>
          <w:rFonts w:ascii="Times" w:hAnsi="Times"/>
          <w:b/>
          <w:i/>
          <w:color w:val="0000FF"/>
          <w:sz w:val="22"/>
          <w:szCs w:val="22"/>
        </w:rPr>
        <w:t>.</w:t>
      </w:r>
      <w:r w:rsidRPr="00C838C7">
        <w:rPr>
          <w:rFonts w:ascii="Times" w:hAnsi="Times"/>
          <w:b/>
          <w:i/>
          <w:color w:val="0000FF"/>
          <w:sz w:val="22"/>
          <w:szCs w:val="22"/>
        </w:rPr>
        <w:t xml:space="preserve"> </w:t>
      </w:r>
    </w:p>
    <w:p w14:paraId="31CC1181" w14:textId="32D239A9" w:rsidR="00602CD2" w:rsidRDefault="00C838C7" w:rsidP="00602CD2">
      <w:pPr>
        <w:rPr>
          <w:rFonts w:ascii="Times" w:hAnsi="Times"/>
          <w:b/>
          <w:i/>
          <w:color w:val="0000FF"/>
          <w:sz w:val="22"/>
          <w:szCs w:val="22"/>
        </w:rPr>
      </w:pPr>
      <w:r>
        <w:rPr>
          <w:rFonts w:ascii="Times" w:hAnsi="Times"/>
          <w:b/>
          <w:i/>
          <w:color w:val="0000FF"/>
          <w:sz w:val="22"/>
          <w:szCs w:val="22"/>
        </w:rPr>
        <w:tab/>
        <w:t xml:space="preserve">2. </w:t>
      </w:r>
      <w:r w:rsidR="00602CD2" w:rsidRPr="00C838C7">
        <w:rPr>
          <w:rFonts w:ascii="Times" w:hAnsi="Times"/>
          <w:b/>
          <w:i/>
          <w:color w:val="0000FF"/>
          <w:sz w:val="22"/>
          <w:szCs w:val="22"/>
        </w:rPr>
        <w:t xml:space="preserve">  </w:t>
      </w:r>
      <w:r>
        <w:rPr>
          <w:rFonts w:ascii="Times" w:hAnsi="Times"/>
          <w:b/>
          <w:i/>
          <w:color w:val="0000FF"/>
          <w:sz w:val="22"/>
          <w:szCs w:val="22"/>
        </w:rPr>
        <w:t>Any health carrier that issues a health benefit plan</w:t>
      </w:r>
      <w:r w:rsidR="00DF3284">
        <w:rPr>
          <w:rFonts w:ascii="Times" w:hAnsi="Times"/>
          <w:b/>
          <w:i/>
          <w:color w:val="0000FF"/>
          <w:sz w:val="22"/>
          <w:szCs w:val="22"/>
        </w:rPr>
        <w:t xml:space="preserve"> </w:t>
      </w:r>
      <w:r w:rsidR="00DF3284">
        <w:rPr>
          <w:rFonts w:ascii="Times" w:hAnsi="Times"/>
          <w:b/>
          <w:i/>
          <w:color w:val="0000FF"/>
          <w:sz w:val="22"/>
          <w:szCs w:val="22"/>
        </w:rPr>
        <w:t xml:space="preserve">pursuant to chapters 689A, </w:t>
      </w:r>
      <w:r w:rsidR="00DF3284" w:rsidRPr="00D031D2">
        <w:rPr>
          <w:rFonts w:ascii="Times" w:hAnsi="Times"/>
          <w:b/>
          <w:i/>
          <w:color w:val="0000FF"/>
          <w:sz w:val="22"/>
          <w:szCs w:val="22"/>
        </w:rPr>
        <w:t>689B,</w:t>
      </w:r>
      <w:r w:rsidR="00DF3284">
        <w:rPr>
          <w:rFonts w:ascii="Times" w:hAnsi="Times"/>
          <w:b/>
          <w:i/>
          <w:color w:val="0000FF"/>
          <w:sz w:val="22"/>
          <w:szCs w:val="22"/>
        </w:rPr>
        <w:t xml:space="preserve"> 689C,</w:t>
      </w:r>
      <w:r w:rsidR="00DF3284" w:rsidRPr="00D031D2">
        <w:rPr>
          <w:rFonts w:ascii="Times" w:hAnsi="Times"/>
          <w:b/>
          <w:i/>
          <w:color w:val="0000FF"/>
          <w:sz w:val="22"/>
          <w:szCs w:val="22"/>
        </w:rPr>
        <w:t xml:space="preserve"> 695A, 695B, 695C</w:t>
      </w:r>
      <w:r w:rsidR="00DF3284">
        <w:rPr>
          <w:rFonts w:ascii="Times" w:hAnsi="Times"/>
          <w:b/>
          <w:i/>
          <w:color w:val="0000FF"/>
          <w:sz w:val="22"/>
          <w:szCs w:val="22"/>
        </w:rPr>
        <w:t>, 695G,</w:t>
      </w:r>
      <w:r w:rsidR="00DF3284" w:rsidRPr="00D031D2">
        <w:rPr>
          <w:rFonts w:ascii="Times" w:hAnsi="Times"/>
          <w:b/>
          <w:i/>
          <w:color w:val="0000FF"/>
          <w:sz w:val="22"/>
          <w:szCs w:val="22"/>
        </w:rPr>
        <w:t xml:space="preserve"> 695F</w:t>
      </w:r>
      <w:r w:rsidR="00DF3284">
        <w:rPr>
          <w:rFonts w:ascii="Times" w:hAnsi="Times"/>
          <w:b/>
          <w:i/>
          <w:color w:val="0000FF"/>
          <w:sz w:val="22"/>
          <w:szCs w:val="22"/>
        </w:rPr>
        <w:t>, or 287</w:t>
      </w:r>
      <w:r w:rsidR="00DF3284" w:rsidRPr="00D031D2">
        <w:rPr>
          <w:rFonts w:ascii="Times" w:hAnsi="Times"/>
          <w:b/>
          <w:i/>
          <w:color w:val="0000FF"/>
          <w:sz w:val="22"/>
          <w:szCs w:val="22"/>
        </w:rPr>
        <w:t xml:space="preserve"> of NRS</w:t>
      </w:r>
      <w:r>
        <w:rPr>
          <w:rFonts w:ascii="Times" w:hAnsi="Times"/>
          <w:b/>
          <w:i/>
          <w:color w:val="0000FF"/>
          <w:sz w:val="22"/>
          <w:szCs w:val="22"/>
        </w:rPr>
        <w:t xml:space="preserve"> that provides mental health or </w:t>
      </w:r>
      <w:r w:rsidR="006607CB">
        <w:rPr>
          <w:rFonts w:ascii="Times" w:hAnsi="Times"/>
          <w:b/>
          <w:i/>
          <w:color w:val="0000FF"/>
          <w:sz w:val="22"/>
          <w:szCs w:val="22"/>
        </w:rPr>
        <w:t>substance use disorder</w:t>
      </w:r>
      <w:r>
        <w:rPr>
          <w:rFonts w:ascii="Times" w:hAnsi="Times"/>
          <w:b/>
          <w:i/>
          <w:color w:val="0000FF"/>
          <w:sz w:val="22"/>
          <w:szCs w:val="22"/>
        </w:rPr>
        <w:t xml:space="preserve"> benefits </w:t>
      </w:r>
      <w:r w:rsidRPr="00C838C7">
        <w:rPr>
          <w:rFonts w:ascii="Times" w:hAnsi="Times"/>
          <w:b/>
          <w:i/>
          <w:color w:val="0000FF"/>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9B25F9">
        <w:rPr>
          <w:rFonts w:ascii="Times" w:hAnsi="Times"/>
          <w:b/>
          <w:i/>
          <w:color w:val="0000FF"/>
          <w:sz w:val="22"/>
          <w:szCs w:val="22"/>
        </w:rPr>
        <w:t>in chapter 695G of NRS</w:t>
      </w:r>
      <w:r w:rsidRPr="00C838C7">
        <w:rPr>
          <w:rFonts w:ascii="Times" w:hAnsi="Times"/>
          <w:b/>
          <w:i/>
          <w:color w:val="0000FF"/>
          <w:sz w:val="22"/>
          <w:szCs w:val="22"/>
        </w:rPr>
        <w:t>.</w:t>
      </w:r>
    </w:p>
    <w:p w14:paraId="05F0C00E" w14:textId="70A223DA" w:rsidR="00C838C7" w:rsidRDefault="00C838C7" w:rsidP="00602CD2">
      <w:pPr>
        <w:rPr>
          <w:rFonts w:ascii="Times" w:hAnsi="Times"/>
          <w:b/>
          <w:i/>
          <w:color w:val="0000FF"/>
          <w:sz w:val="22"/>
          <w:szCs w:val="22"/>
        </w:rPr>
      </w:pPr>
      <w:r>
        <w:rPr>
          <w:rFonts w:ascii="Times" w:hAnsi="Times"/>
          <w:b/>
          <w:i/>
          <w:color w:val="0000FF"/>
          <w:sz w:val="22"/>
          <w:szCs w:val="22"/>
        </w:rPr>
        <w:lastRenderedPageBreak/>
        <w:tab/>
        <w:t>3. As used in this section:</w:t>
      </w:r>
    </w:p>
    <w:p w14:paraId="4857F015" w14:textId="46961357" w:rsidR="00C838C7" w:rsidRDefault="00C838C7" w:rsidP="00602CD2">
      <w:pPr>
        <w:rPr>
          <w:rFonts w:ascii="Times" w:hAnsi="Times"/>
          <w:b/>
          <w:i/>
          <w:color w:val="0000FF"/>
          <w:sz w:val="22"/>
          <w:szCs w:val="22"/>
        </w:rPr>
      </w:pPr>
      <w:r>
        <w:rPr>
          <w:rFonts w:ascii="Times" w:hAnsi="Times"/>
          <w:b/>
          <w:i/>
          <w:color w:val="0000FF"/>
          <w:sz w:val="22"/>
          <w:szCs w:val="22"/>
        </w:rPr>
        <w:tab/>
        <w:t xml:space="preserve">(a) “Health benefit plan” has the meaning ascribed to it in NRS </w:t>
      </w:r>
      <w:r w:rsidRPr="00C838C7">
        <w:rPr>
          <w:rFonts w:ascii="Times" w:hAnsi="Times"/>
          <w:b/>
          <w:bCs/>
          <w:i/>
          <w:color w:val="0000FF"/>
          <w:sz w:val="22"/>
          <w:szCs w:val="22"/>
        </w:rPr>
        <w:t>695G.019</w:t>
      </w:r>
      <w:r w:rsidR="00CB2904">
        <w:rPr>
          <w:rFonts w:ascii="Times" w:hAnsi="Times"/>
          <w:b/>
          <w:bCs/>
          <w:i/>
          <w:color w:val="0000FF"/>
          <w:sz w:val="22"/>
          <w:szCs w:val="22"/>
        </w:rPr>
        <w:t>.</w:t>
      </w:r>
    </w:p>
    <w:p w14:paraId="4C53C2DE" w14:textId="0670C547" w:rsidR="00C838C7" w:rsidRPr="00C838C7" w:rsidRDefault="00C838C7" w:rsidP="00C838C7">
      <w:pPr>
        <w:rPr>
          <w:rFonts w:ascii="Times" w:hAnsi="Times"/>
          <w:b/>
          <w:i/>
          <w:color w:val="0000FF"/>
          <w:sz w:val="22"/>
          <w:szCs w:val="22"/>
        </w:rPr>
      </w:pPr>
      <w:r>
        <w:rPr>
          <w:rFonts w:ascii="Times" w:hAnsi="Times"/>
          <w:b/>
          <w:i/>
          <w:color w:val="0000FF"/>
          <w:sz w:val="22"/>
          <w:szCs w:val="22"/>
        </w:rPr>
        <w:tab/>
        <w:t xml:space="preserve">(b) “Health carrier” has the meaning ascribed to it in NRS </w:t>
      </w:r>
      <w:r w:rsidRPr="00C838C7">
        <w:rPr>
          <w:rFonts w:ascii="Times" w:hAnsi="Times"/>
          <w:b/>
          <w:bCs/>
          <w:i/>
          <w:color w:val="0000FF"/>
          <w:sz w:val="22"/>
          <w:szCs w:val="22"/>
        </w:rPr>
        <w:t>695G.024</w:t>
      </w:r>
      <w:r w:rsidR="00CB2904">
        <w:rPr>
          <w:rFonts w:ascii="Times" w:hAnsi="Times"/>
          <w:b/>
          <w:bCs/>
          <w:i/>
          <w:color w:val="0000FF"/>
          <w:sz w:val="22"/>
          <w:szCs w:val="22"/>
        </w:rPr>
        <w:t>.</w:t>
      </w:r>
    </w:p>
    <w:p w14:paraId="21905D74" w14:textId="35ED1FED" w:rsidR="00C838C7" w:rsidRDefault="005E7FA1" w:rsidP="00602CD2">
      <w:pPr>
        <w:rPr>
          <w:rFonts w:ascii="Times" w:hAnsi="Times"/>
          <w:b/>
          <w:i/>
          <w:color w:val="0000FF"/>
          <w:sz w:val="22"/>
          <w:szCs w:val="22"/>
        </w:rPr>
      </w:pPr>
      <w:r>
        <w:rPr>
          <w:rFonts w:ascii="Times" w:hAnsi="Times"/>
          <w:b/>
          <w:i/>
          <w:color w:val="0000FF"/>
          <w:sz w:val="22"/>
          <w:szCs w:val="22"/>
        </w:rPr>
        <w:tab/>
        <w:t xml:space="preserve">(c) </w:t>
      </w:r>
      <w:r w:rsidRPr="005E7FA1">
        <w:rPr>
          <w:rFonts w:ascii="Times" w:hAnsi="Times"/>
          <w:b/>
          <w:i/>
          <w:color w:val="0000FF"/>
          <w:sz w:val="22"/>
          <w:szCs w:val="22"/>
        </w:rPr>
        <w:t xml:space="preserve">“Mental health </w:t>
      </w:r>
      <w:r>
        <w:rPr>
          <w:rFonts w:ascii="Times" w:hAnsi="Times"/>
          <w:b/>
          <w:i/>
          <w:color w:val="0000FF"/>
          <w:sz w:val="22"/>
          <w:szCs w:val="22"/>
        </w:rPr>
        <w:t>or</w:t>
      </w:r>
      <w:r w:rsidRPr="005E7FA1">
        <w:rPr>
          <w:rFonts w:ascii="Times" w:hAnsi="Times"/>
          <w:b/>
          <w:i/>
          <w:color w:val="0000FF"/>
          <w:sz w:val="22"/>
          <w:szCs w:val="22"/>
        </w:rPr>
        <w:t xml:space="preserve">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sidR="00CB2904">
        <w:rPr>
          <w:rFonts w:ascii="Times" w:hAnsi="Times"/>
          <w:b/>
          <w:i/>
          <w:color w:val="0000FF"/>
          <w:sz w:val="22"/>
          <w:szCs w:val="22"/>
        </w:rPr>
        <w:t>.</w:t>
      </w:r>
    </w:p>
    <w:p w14:paraId="44625612" w14:textId="424E5C1C" w:rsidR="00CB2904" w:rsidRPr="00C838C7" w:rsidRDefault="00107551" w:rsidP="00602CD2">
      <w:pPr>
        <w:rPr>
          <w:rFonts w:ascii="Times" w:hAnsi="Times"/>
          <w:b/>
          <w:i/>
          <w:color w:val="0000FF"/>
          <w:sz w:val="22"/>
          <w:szCs w:val="22"/>
        </w:rPr>
      </w:pPr>
      <w:r>
        <w:rPr>
          <w:rFonts w:ascii="Times" w:hAnsi="Times"/>
          <w:b/>
          <w:i/>
          <w:color w:val="0000FF"/>
          <w:sz w:val="22"/>
          <w:szCs w:val="22"/>
        </w:rPr>
        <w:tab/>
        <w:t>(d</w:t>
      </w:r>
      <w:bookmarkStart w:id="0" w:name="_GoBack"/>
      <w:bookmarkEnd w:id="0"/>
      <w:r w:rsidR="00CB2904">
        <w:rPr>
          <w:rFonts w:ascii="Times" w:hAnsi="Times"/>
          <w:b/>
          <w:i/>
          <w:color w:val="0000FF"/>
          <w:sz w:val="22"/>
          <w:szCs w:val="22"/>
        </w:rPr>
        <w:t xml:space="preserve">) </w:t>
      </w:r>
      <w:r w:rsidR="00CB2904" w:rsidRPr="00CB2904">
        <w:rPr>
          <w:rFonts w:ascii="Times" w:hAnsi="Times"/>
          <w:b/>
          <w:i/>
          <w:color w:val="0000FF"/>
          <w:sz w:val="22"/>
          <w:szCs w:val="22"/>
        </w:rPr>
        <w:t>“The Psychiatric Collaborative Care Model” means the evidence-based, integrated behavioral health service delivery method described at 81 FR 80230.</w:t>
      </w:r>
    </w:p>
    <w:p w14:paraId="5E1643EF" w14:textId="0885C776" w:rsidR="00602CD2" w:rsidRDefault="00602CD2" w:rsidP="00587AD1">
      <w:pPr>
        <w:rPr>
          <w:rFonts w:ascii="Times" w:hAnsi="Times"/>
          <w:b/>
          <w:i/>
          <w:color w:val="0000FF"/>
          <w:sz w:val="22"/>
          <w:szCs w:val="22"/>
        </w:rPr>
      </w:pPr>
      <w:r>
        <w:rPr>
          <w:rFonts w:ascii="Times" w:hAnsi="Times"/>
          <w:sz w:val="22"/>
          <w:szCs w:val="22"/>
        </w:rPr>
        <w:tab/>
      </w:r>
    </w:p>
    <w:p w14:paraId="6293B4CB" w14:textId="1D9953E9" w:rsidR="002B20A5" w:rsidRPr="00782066" w:rsidRDefault="00183276" w:rsidP="002B20A5">
      <w:pPr>
        <w:rPr>
          <w:rFonts w:ascii="Times" w:eastAsia="Times New Roman" w:hAnsi="Times" w:cs="Times New Roman"/>
          <w:sz w:val="22"/>
          <w:szCs w:val="22"/>
        </w:rPr>
      </w:pPr>
      <w:r>
        <w:rPr>
          <w:rFonts w:ascii="Times" w:eastAsia="Times New Roman" w:hAnsi="Times" w:cs="Times New Roman"/>
          <w:b/>
          <w:sz w:val="22"/>
          <w:szCs w:val="22"/>
        </w:rPr>
        <w:t>Sec. 2</w:t>
      </w:r>
      <w:r w:rsidR="002B20A5" w:rsidRPr="002B20A5">
        <w:rPr>
          <w:rFonts w:ascii="Times" w:eastAsia="Times New Roman" w:hAnsi="Times" w:cs="Times New Roman"/>
          <w:b/>
          <w:sz w:val="22"/>
          <w:szCs w:val="22"/>
        </w:rPr>
        <w:t>.</w:t>
      </w:r>
      <w:r w:rsidR="002B20A5" w:rsidRPr="002B20A5">
        <w:rPr>
          <w:rFonts w:ascii="Times" w:eastAsia="Times New Roman" w:hAnsi="Times" w:cs="Times New Roman"/>
          <w:sz w:val="22"/>
          <w:szCs w:val="22"/>
        </w:rPr>
        <w:t xml:space="preserve"> Th</w:t>
      </w:r>
      <w:r w:rsidR="002B20A5" w:rsidRPr="00782066">
        <w:rPr>
          <w:rFonts w:ascii="Times" w:eastAsia="Times New Roman" w:hAnsi="Times" w:cs="Times New Roman"/>
          <w:sz w:val="22"/>
          <w:szCs w:val="22"/>
        </w:rPr>
        <w:t xml:space="preserve">is act becomes effective: </w:t>
      </w:r>
    </w:p>
    <w:p w14:paraId="28CDB545" w14:textId="77777777" w:rsidR="002B20A5" w:rsidRPr="00782066" w:rsidRDefault="002B20A5" w:rsidP="002B20A5">
      <w:pPr>
        <w:rPr>
          <w:rFonts w:ascii="Times" w:eastAsia="Times New Roman" w:hAnsi="Times" w:cs="Times New Roman"/>
          <w:sz w:val="22"/>
          <w:szCs w:val="22"/>
        </w:rPr>
      </w:pPr>
      <w:r w:rsidRPr="00782066">
        <w:rPr>
          <w:rFonts w:ascii="Times" w:eastAsia="Times New Roman" w:hAnsi="Times" w:cs="Times New Roman"/>
          <w:sz w:val="22"/>
          <w:szCs w:val="22"/>
        </w:rPr>
        <w:t xml:space="preserve">1. </w:t>
      </w:r>
      <w:r w:rsidRPr="002B20A5">
        <w:rPr>
          <w:rFonts w:ascii="Times" w:eastAsia="Times New Roman" w:hAnsi="Times" w:cs="Times New Roman"/>
          <w:sz w:val="22"/>
          <w:szCs w:val="22"/>
        </w:rPr>
        <w:t>Upon passage and approval fo</w:t>
      </w:r>
      <w:r w:rsidRPr="00782066">
        <w:rPr>
          <w:rFonts w:ascii="Times" w:eastAsia="Times New Roman" w:hAnsi="Times" w:cs="Times New Roman"/>
          <w:sz w:val="22"/>
          <w:szCs w:val="22"/>
        </w:rPr>
        <w:t>r the purpose of adopting any</w:t>
      </w:r>
      <w:r w:rsidRPr="002B20A5">
        <w:rPr>
          <w:rFonts w:ascii="Times" w:eastAsia="Times New Roman" w:hAnsi="Times" w:cs="Times New Roman"/>
          <w:sz w:val="22"/>
          <w:szCs w:val="22"/>
        </w:rPr>
        <w:t xml:space="preserve"> regulations and performing any oth</w:t>
      </w:r>
      <w:r w:rsidRPr="00782066">
        <w:rPr>
          <w:rFonts w:ascii="Times" w:eastAsia="Times New Roman" w:hAnsi="Times" w:cs="Times New Roman"/>
          <w:sz w:val="22"/>
          <w:szCs w:val="22"/>
        </w:rPr>
        <w:t>er preparatory administrative</w:t>
      </w:r>
      <w:r w:rsidRPr="002B20A5">
        <w:rPr>
          <w:rFonts w:ascii="Times" w:eastAsia="Times New Roman" w:hAnsi="Times" w:cs="Times New Roman"/>
          <w:sz w:val="22"/>
          <w:szCs w:val="22"/>
        </w:rPr>
        <w:t xml:space="preserve"> tasks necessary to carry out th</w:t>
      </w:r>
      <w:r w:rsidRPr="00782066">
        <w:rPr>
          <w:rFonts w:ascii="Times" w:eastAsia="Times New Roman" w:hAnsi="Times" w:cs="Times New Roman"/>
          <w:sz w:val="22"/>
          <w:szCs w:val="22"/>
        </w:rPr>
        <w:t>e provisions of this act; and</w:t>
      </w:r>
      <w:r w:rsidRPr="002B20A5">
        <w:rPr>
          <w:rFonts w:ascii="Times" w:eastAsia="Times New Roman" w:hAnsi="Times" w:cs="Times New Roman"/>
          <w:sz w:val="22"/>
          <w:szCs w:val="22"/>
        </w:rPr>
        <w:t xml:space="preserve"> </w:t>
      </w:r>
    </w:p>
    <w:p w14:paraId="6D5DAF68" w14:textId="24B33A1F" w:rsidR="002B20A5" w:rsidRPr="002B20A5" w:rsidRDefault="002B20A5" w:rsidP="002B20A5">
      <w:pPr>
        <w:rPr>
          <w:rFonts w:ascii="Times" w:eastAsia="Times New Roman" w:hAnsi="Times" w:cs="Times New Roman"/>
          <w:sz w:val="22"/>
          <w:szCs w:val="22"/>
        </w:rPr>
      </w:pPr>
      <w:r w:rsidRPr="002B20A5">
        <w:rPr>
          <w:rFonts w:ascii="Times" w:eastAsia="Times New Roman" w:hAnsi="Times" w:cs="Times New Roman"/>
          <w:sz w:val="22"/>
          <w:szCs w:val="22"/>
        </w:rPr>
        <w:t xml:space="preserve">2. On January 1, </w:t>
      </w:r>
      <w:r w:rsidRPr="00782066">
        <w:rPr>
          <w:rFonts w:ascii="Times" w:eastAsia="Times New Roman" w:hAnsi="Times" w:cs="Times New Roman"/>
          <w:sz w:val="22"/>
          <w:szCs w:val="22"/>
        </w:rPr>
        <w:t>2020</w:t>
      </w:r>
      <w:r w:rsidRPr="002B20A5">
        <w:rPr>
          <w:rFonts w:ascii="Times" w:eastAsia="Times New Roman" w:hAnsi="Times" w:cs="Times New Roman"/>
          <w:sz w:val="22"/>
          <w:szCs w:val="22"/>
        </w:rPr>
        <w:t xml:space="preserve"> for all other purposes.</w:t>
      </w:r>
      <w:r w:rsidR="0087483E">
        <w:rPr>
          <w:rFonts w:ascii="Times" w:eastAsia="Times New Roman" w:hAnsi="Times" w:cs="Times New Roman"/>
          <w:sz w:val="22"/>
          <w:szCs w:val="22"/>
        </w:rPr>
        <w:t xml:space="preserve"> </w:t>
      </w:r>
    </w:p>
    <w:p w14:paraId="1CAF5EB1" w14:textId="0ED07C2E" w:rsidR="001315A1" w:rsidRPr="003360BF" w:rsidRDefault="001315A1" w:rsidP="003360BF">
      <w:pPr>
        <w:rPr>
          <w:rFonts w:ascii="Times" w:eastAsia="Times New Roman" w:hAnsi="Times" w:cs="Times New Roman"/>
          <w:b/>
          <w:i/>
          <w:color w:val="0000FF"/>
          <w:sz w:val="22"/>
          <w:szCs w:val="22"/>
        </w:rPr>
      </w:pPr>
    </w:p>
    <w:p w14:paraId="13A93712" w14:textId="77777777" w:rsidR="00BE41A5" w:rsidRPr="00BE41A5" w:rsidRDefault="00BE41A5">
      <w:pPr>
        <w:rPr>
          <w:rFonts w:ascii="Times" w:hAnsi="Times"/>
          <w:sz w:val="22"/>
          <w:szCs w:val="22"/>
        </w:rPr>
      </w:pPr>
    </w:p>
    <w:sectPr w:rsidR="00BE41A5" w:rsidRPr="00BE41A5"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A5"/>
    <w:rsid w:val="000516E0"/>
    <w:rsid w:val="00057DC1"/>
    <w:rsid w:val="00062B92"/>
    <w:rsid w:val="00092852"/>
    <w:rsid w:val="000B21DC"/>
    <w:rsid w:val="00107551"/>
    <w:rsid w:val="00130E24"/>
    <w:rsid w:val="001315A1"/>
    <w:rsid w:val="0014621D"/>
    <w:rsid w:val="001504FC"/>
    <w:rsid w:val="00183276"/>
    <w:rsid w:val="001F261B"/>
    <w:rsid w:val="002017BC"/>
    <w:rsid w:val="00202113"/>
    <w:rsid w:val="002055D6"/>
    <w:rsid w:val="00224EF6"/>
    <w:rsid w:val="002B20A5"/>
    <w:rsid w:val="002B3F0A"/>
    <w:rsid w:val="002E0A75"/>
    <w:rsid w:val="00322025"/>
    <w:rsid w:val="003360BF"/>
    <w:rsid w:val="00356BED"/>
    <w:rsid w:val="003A237A"/>
    <w:rsid w:val="003A7D4C"/>
    <w:rsid w:val="003B2976"/>
    <w:rsid w:val="003B2CBC"/>
    <w:rsid w:val="003C0E6C"/>
    <w:rsid w:val="004166B1"/>
    <w:rsid w:val="00423065"/>
    <w:rsid w:val="0045721E"/>
    <w:rsid w:val="00470FAA"/>
    <w:rsid w:val="00484C68"/>
    <w:rsid w:val="004C3993"/>
    <w:rsid w:val="004E7D4A"/>
    <w:rsid w:val="00502A8D"/>
    <w:rsid w:val="00572817"/>
    <w:rsid w:val="00587AD1"/>
    <w:rsid w:val="00594BE4"/>
    <w:rsid w:val="005E7FA1"/>
    <w:rsid w:val="005F1B18"/>
    <w:rsid w:val="00602CD2"/>
    <w:rsid w:val="00607334"/>
    <w:rsid w:val="00613834"/>
    <w:rsid w:val="00625FDE"/>
    <w:rsid w:val="006300AD"/>
    <w:rsid w:val="00635742"/>
    <w:rsid w:val="006570C2"/>
    <w:rsid w:val="006607CB"/>
    <w:rsid w:val="00686A65"/>
    <w:rsid w:val="007053BA"/>
    <w:rsid w:val="007240E5"/>
    <w:rsid w:val="00737D37"/>
    <w:rsid w:val="00761083"/>
    <w:rsid w:val="00782066"/>
    <w:rsid w:val="007A2C59"/>
    <w:rsid w:val="007C049A"/>
    <w:rsid w:val="008352D2"/>
    <w:rsid w:val="00850E28"/>
    <w:rsid w:val="0087483E"/>
    <w:rsid w:val="00893A98"/>
    <w:rsid w:val="008F12F2"/>
    <w:rsid w:val="00922043"/>
    <w:rsid w:val="00953011"/>
    <w:rsid w:val="00994FC3"/>
    <w:rsid w:val="009B25F9"/>
    <w:rsid w:val="00A009E2"/>
    <w:rsid w:val="00A473F7"/>
    <w:rsid w:val="00A82C16"/>
    <w:rsid w:val="00AC5A26"/>
    <w:rsid w:val="00B74ABF"/>
    <w:rsid w:val="00B870DF"/>
    <w:rsid w:val="00B91F66"/>
    <w:rsid w:val="00BE41A5"/>
    <w:rsid w:val="00C176D4"/>
    <w:rsid w:val="00C533CD"/>
    <w:rsid w:val="00C838C7"/>
    <w:rsid w:val="00C93C0B"/>
    <w:rsid w:val="00CB2904"/>
    <w:rsid w:val="00CF1015"/>
    <w:rsid w:val="00D031D2"/>
    <w:rsid w:val="00D40FD5"/>
    <w:rsid w:val="00D80B97"/>
    <w:rsid w:val="00DC4F69"/>
    <w:rsid w:val="00DC79C9"/>
    <w:rsid w:val="00DF3284"/>
    <w:rsid w:val="00E363FA"/>
    <w:rsid w:val="00E545E3"/>
    <w:rsid w:val="00E6105A"/>
    <w:rsid w:val="00E73D5A"/>
    <w:rsid w:val="00ED086B"/>
    <w:rsid w:val="00ED6EEC"/>
    <w:rsid w:val="00EF3B8D"/>
    <w:rsid w:val="00F0327E"/>
    <w:rsid w:val="00FC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579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14598">
      <w:bodyDiv w:val="1"/>
      <w:marLeft w:val="0"/>
      <w:marRight w:val="0"/>
      <w:marTop w:val="0"/>
      <w:marBottom w:val="0"/>
      <w:divBdr>
        <w:top w:val="none" w:sz="0" w:space="0" w:color="auto"/>
        <w:left w:val="none" w:sz="0" w:space="0" w:color="auto"/>
        <w:bottom w:val="none" w:sz="0" w:space="0" w:color="auto"/>
        <w:right w:val="none" w:sz="0" w:space="0" w:color="auto"/>
      </w:divBdr>
    </w:div>
    <w:div w:id="1013262980">
      <w:bodyDiv w:val="1"/>
      <w:marLeft w:val="0"/>
      <w:marRight w:val="0"/>
      <w:marTop w:val="0"/>
      <w:marBottom w:val="0"/>
      <w:divBdr>
        <w:top w:val="none" w:sz="0" w:space="0" w:color="auto"/>
        <w:left w:val="none" w:sz="0" w:space="0" w:color="auto"/>
        <w:bottom w:val="none" w:sz="0" w:space="0" w:color="auto"/>
        <w:right w:val="none" w:sz="0" w:space="0" w:color="auto"/>
      </w:divBdr>
    </w:div>
    <w:div w:id="1562868345">
      <w:bodyDiv w:val="1"/>
      <w:marLeft w:val="0"/>
      <w:marRight w:val="0"/>
      <w:marTop w:val="0"/>
      <w:marBottom w:val="0"/>
      <w:divBdr>
        <w:top w:val="none" w:sz="0" w:space="0" w:color="auto"/>
        <w:left w:val="none" w:sz="0" w:space="0" w:color="auto"/>
        <w:bottom w:val="none" w:sz="0" w:space="0" w:color="auto"/>
        <w:right w:val="none" w:sz="0" w:space="0" w:color="auto"/>
      </w:divBdr>
    </w:div>
    <w:div w:id="1598634776">
      <w:bodyDiv w:val="1"/>
      <w:marLeft w:val="0"/>
      <w:marRight w:val="0"/>
      <w:marTop w:val="0"/>
      <w:marBottom w:val="0"/>
      <w:divBdr>
        <w:top w:val="none" w:sz="0" w:space="0" w:color="auto"/>
        <w:left w:val="none" w:sz="0" w:space="0" w:color="auto"/>
        <w:bottom w:val="none" w:sz="0" w:space="0" w:color="auto"/>
        <w:right w:val="none" w:sz="0" w:space="0" w:color="auto"/>
      </w:divBdr>
    </w:div>
    <w:div w:id="1845436989">
      <w:bodyDiv w:val="1"/>
      <w:marLeft w:val="0"/>
      <w:marRight w:val="0"/>
      <w:marTop w:val="0"/>
      <w:marBottom w:val="0"/>
      <w:divBdr>
        <w:top w:val="none" w:sz="0" w:space="0" w:color="auto"/>
        <w:left w:val="none" w:sz="0" w:space="0" w:color="auto"/>
        <w:bottom w:val="none" w:sz="0" w:space="0" w:color="auto"/>
        <w:right w:val="none" w:sz="0" w:space="0" w:color="auto"/>
      </w:divBdr>
    </w:div>
    <w:div w:id="1912809233">
      <w:bodyDiv w:val="1"/>
      <w:marLeft w:val="0"/>
      <w:marRight w:val="0"/>
      <w:marTop w:val="0"/>
      <w:marBottom w:val="0"/>
      <w:divBdr>
        <w:top w:val="none" w:sz="0" w:space="0" w:color="auto"/>
        <w:left w:val="none" w:sz="0" w:space="0" w:color="auto"/>
        <w:bottom w:val="none" w:sz="0" w:space="0" w:color="auto"/>
        <w:right w:val="none" w:sz="0" w:space="0" w:color="auto"/>
      </w:divBdr>
    </w:div>
    <w:div w:id="2051832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2899</Characters>
  <Application>Microsoft Macintosh Word</Application>
  <DocSecurity>0</DocSecurity>
  <Lines>24</Lines>
  <Paragraphs>6</Paragraphs>
  <ScaleCrop>false</ScaleCrop>
  <Company>Scattergood Foundation</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2018-12-28T17:28:00Z</dcterms:created>
  <dcterms:modified xsi:type="dcterms:W3CDTF">2018-12-28T17:28:00Z</dcterms:modified>
</cp:coreProperties>
</file>