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8A423" w14:textId="77777777" w:rsidR="00202113" w:rsidRDefault="00202113"/>
    <w:p w14:paraId="2BDDBA6B" w14:textId="77777777" w:rsidR="003B1501" w:rsidRPr="004B6688" w:rsidRDefault="003B1501" w:rsidP="007413E7">
      <w:pPr>
        <w:spacing w:line="276" w:lineRule="auto"/>
        <w:jc w:val="center"/>
        <w:rPr>
          <w:rFonts w:ascii="Times" w:eastAsia="Times New Roman" w:hAnsi="Times" w:cs="Times New Roman"/>
          <w:sz w:val="22"/>
          <w:szCs w:val="22"/>
        </w:rPr>
      </w:pPr>
      <w:r w:rsidRPr="004B6688">
        <w:rPr>
          <w:rFonts w:ascii="Times" w:eastAsia="Times New Roman" w:hAnsi="Times" w:cs="Times New Roman"/>
          <w:sz w:val="22"/>
          <w:szCs w:val="22"/>
        </w:rPr>
        <w:t xml:space="preserve">LEGISLATURE OF NEBRASKA </w:t>
      </w:r>
    </w:p>
    <w:p w14:paraId="74455D54" w14:textId="77777777" w:rsidR="003B1501" w:rsidRPr="004B6688" w:rsidRDefault="003B1501" w:rsidP="007413E7">
      <w:pPr>
        <w:spacing w:line="276" w:lineRule="auto"/>
        <w:jc w:val="center"/>
        <w:rPr>
          <w:rFonts w:ascii="Times" w:eastAsia="Times New Roman" w:hAnsi="Times" w:cs="Times New Roman"/>
          <w:sz w:val="22"/>
          <w:szCs w:val="22"/>
        </w:rPr>
      </w:pPr>
    </w:p>
    <w:p w14:paraId="241A6424" w14:textId="77777777" w:rsidR="003B1501" w:rsidRPr="004B6688" w:rsidRDefault="003B1501" w:rsidP="007413E7">
      <w:pPr>
        <w:spacing w:line="276" w:lineRule="auto"/>
        <w:jc w:val="center"/>
        <w:rPr>
          <w:rFonts w:ascii="Times" w:eastAsia="Times New Roman" w:hAnsi="Times" w:cs="Times New Roman"/>
          <w:sz w:val="22"/>
          <w:szCs w:val="22"/>
        </w:rPr>
      </w:pPr>
      <w:r w:rsidRPr="004B6688">
        <w:rPr>
          <w:rFonts w:ascii="Times" w:eastAsia="Times New Roman" w:hAnsi="Times" w:cs="Times New Roman"/>
          <w:sz w:val="22"/>
          <w:szCs w:val="22"/>
        </w:rPr>
        <w:t>ONE HUNDRED SIXTH LEGISLATURE</w:t>
      </w:r>
    </w:p>
    <w:p w14:paraId="2380800A" w14:textId="77777777" w:rsidR="003B1501" w:rsidRPr="004B6688" w:rsidRDefault="003B1501" w:rsidP="007413E7">
      <w:pPr>
        <w:spacing w:line="276" w:lineRule="auto"/>
        <w:jc w:val="center"/>
        <w:rPr>
          <w:rFonts w:ascii="Times" w:eastAsia="Times New Roman" w:hAnsi="Times" w:cs="Times New Roman"/>
          <w:sz w:val="22"/>
          <w:szCs w:val="22"/>
        </w:rPr>
      </w:pPr>
    </w:p>
    <w:p w14:paraId="13BCB3A3" w14:textId="77777777" w:rsidR="003B1501" w:rsidRPr="004B6688" w:rsidRDefault="003B1501" w:rsidP="007413E7">
      <w:pPr>
        <w:spacing w:line="276" w:lineRule="auto"/>
        <w:jc w:val="center"/>
        <w:rPr>
          <w:rFonts w:ascii="Times" w:eastAsia="Times New Roman" w:hAnsi="Times" w:cs="Times New Roman"/>
          <w:sz w:val="22"/>
          <w:szCs w:val="22"/>
        </w:rPr>
      </w:pPr>
      <w:r w:rsidRPr="004B6688">
        <w:rPr>
          <w:rFonts w:ascii="Times" w:eastAsia="Times New Roman" w:hAnsi="Times" w:cs="Times New Roman"/>
          <w:sz w:val="22"/>
          <w:szCs w:val="22"/>
        </w:rPr>
        <w:t xml:space="preserve"> FIRST SESSION</w:t>
      </w:r>
    </w:p>
    <w:p w14:paraId="494429F0" w14:textId="77777777" w:rsidR="003B1501" w:rsidRPr="004B6688" w:rsidRDefault="003B1501" w:rsidP="007413E7">
      <w:pPr>
        <w:spacing w:line="276" w:lineRule="auto"/>
        <w:jc w:val="center"/>
        <w:rPr>
          <w:rFonts w:ascii="Times" w:eastAsia="Times New Roman" w:hAnsi="Times" w:cs="Times New Roman"/>
          <w:sz w:val="22"/>
          <w:szCs w:val="22"/>
        </w:rPr>
      </w:pPr>
    </w:p>
    <w:p w14:paraId="5709BF17" w14:textId="77777777" w:rsidR="003B1501" w:rsidRPr="00DB4D80" w:rsidRDefault="003B1501" w:rsidP="007413E7">
      <w:pPr>
        <w:spacing w:line="276" w:lineRule="auto"/>
        <w:jc w:val="center"/>
        <w:rPr>
          <w:rFonts w:ascii="Times" w:eastAsia="Times New Roman" w:hAnsi="Times" w:cs="Times New Roman"/>
          <w:b/>
          <w:sz w:val="22"/>
          <w:szCs w:val="22"/>
        </w:rPr>
      </w:pPr>
      <w:r w:rsidRPr="00DB4D80">
        <w:rPr>
          <w:rFonts w:ascii="Times" w:eastAsia="Times New Roman" w:hAnsi="Times" w:cs="Times New Roman"/>
          <w:b/>
          <w:sz w:val="22"/>
          <w:szCs w:val="22"/>
        </w:rPr>
        <w:t>LEGISLATIVE BILL XXX</w:t>
      </w:r>
    </w:p>
    <w:p w14:paraId="2BF4CC91" w14:textId="77777777" w:rsidR="003B1501" w:rsidRPr="004B6688" w:rsidRDefault="003B1501" w:rsidP="007413E7">
      <w:pPr>
        <w:spacing w:line="276" w:lineRule="auto"/>
        <w:jc w:val="center"/>
        <w:rPr>
          <w:rFonts w:ascii="Times" w:eastAsia="Times New Roman" w:hAnsi="Times" w:cs="Times New Roman"/>
          <w:sz w:val="22"/>
          <w:szCs w:val="22"/>
        </w:rPr>
      </w:pPr>
    </w:p>
    <w:p w14:paraId="6958B023" w14:textId="77777777" w:rsidR="003B1501" w:rsidRPr="004B6688" w:rsidRDefault="003B1501" w:rsidP="007413E7">
      <w:pPr>
        <w:spacing w:line="276" w:lineRule="auto"/>
        <w:rPr>
          <w:rFonts w:ascii="Times" w:eastAsia="Times New Roman" w:hAnsi="Times" w:cs="Times New Roman"/>
          <w:sz w:val="22"/>
          <w:szCs w:val="22"/>
        </w:rPr>
      </w:pPr>
      <w:r w:rsidRPr="004B6688">
        <w:rPr>
          <w:rFonts w:ascii="Times" w:eastAsia="Times New Roman" w:hAnsi="Times" w:cs="Times New Roman"/>
          <w:sz w:val="22"/>
          <w:szCs w:val="22"/>
        </w:rPr>
        <w:t>Introduced by _________</w:t>
      </w:r>
    </w:p>
    <w:p w14:paraId="0A6A2A46" w14:textId="77777777" w:rsidR="003B1501" w:rsidRPr="004B6688" w:rsidRDefault="003B1501" w:rsidP="007413E7">
      <w:pPr>
        <w:spacing w:line="276" w:lineRule="auto"/>
        <w:rPr>
          <w:rFonts w:ascii="Times" w:eastAsia="Times New Roman" w:hAnsi="Times" w:cs="Times New Roman"/>
          <w:sz w:val="22"/>
          <w:szCs w:val="22"/>
        </w:rPr>
      </w:pPr>
    </w:p>
    <w:p w14:paraId="25E48710" w14:textId="77777777" w:rsidR="003B1501" w:rsidRPr="004B6688" w:rsidRDefault="003B1501" w:rsidP="007413E7">
      <w:pPr>
        <w:spacing w:line="276" w:lineRule="auto"/>
        <w:rPr>
          <w:rFonts w:ascii="Times" w:eastAsia="Times New Roman" w:hAnsi="Times" w:cs="Times New Roman"/>
          <w:sz w:val="22"/>
          <w:szCs w:val="22"/>
        </w:rPr>
      </w:pPr>
      <w:r w:rsidRPr="004B6688">
        <w:rPr>
          <w:rFonts w:ascii="Times" w:eastAsia="Times New Roman" w:hAnsi="Times" w:cs="Times New Roman"/>
          <w:sz w:val="22"/>
          <w:szCs w:val="22"/>
        </w:rPr>
        <w:t>Read first time _________</w:t>
      </w:r>
    </w:p>
    <w:p w14:paraId="4B1E3D2A" w14:textId="77777777" w:rsidR="003B1501" w:rsidRPr="004B6688" w:rsidRDefault="003B1501" w:rsidP="007413E7">
      <w:pPr>
        <w:spacing w:line="276" w:lineRule="auto"/>
        <w:rPr>
          <w:rFonts w:ascii="Times" w:eastAsia="Times New Roman" w:hAnsi="Times" w:cs="Times New Roman"/>
          <w:sz w:val="22"/>
          <w:szCs w:val="22"/>
        </w:rPr>
      </w:pPr>
    </w:p>
    <w:p w14:paraId="0213C45E" w14:textId="50A8C175" w:rsidR="003B1501" w:rsidRPr="004B6688" w:rsidRDefault="003B1501" w:rsidP="007413E7">
      <w:pPr>
        <w:spacing w:line="276" w:lineRule="auto"/>
        <w:rPr>
          <w:rFonts w:ascii="Times" w:eastAsia="Times New Roman" w:hAnsi="Times" w:cs="Times New Roman"/>
          <w:sz w:val="22"/>
          <w:szCs w:val="22"/>
        </w:rPr>
      </w:pPr>
      <w:r w:rsidRPr="004B6688">
        <w:rPr>
          <w:rFonts w:ascii="Times" w:eastAsia="Times New Roman" w:hAnsi="Times" w:cs="Times New Roman"/>
          <w:sz w:val="22"/>
          <w:szCs w:val="22"/>
        </w:rPr>
        <w:t>Committee: Banking, Commerce and Insurance</w:t>
      </w:r>
    </w:p>
    <w:p w14:paraId="709BFDC1" w14:textId="2C6D07D5" w:rsidR="003B1501" w:rsidRPr="004B6688" w:rsidRDefault="005B4A61" w:rsidP="007413E7">
      <w:pPr>
        <w:spacing w:line="276" w:lineRule="auto"/>
        <w:ind w:left="1152" w:hanging="1152"/>
        <w:rPr>
          <w:rFonts w:ascii="Times" w:eastAsia="Times New Roman" w:hAnsi="Times" w:cs="Times New Roman"/>
          <w:sz w:val="22"/>
          <w:szCs w:val="22"/>
        </w:rPr>
      </w:pPr>
      <w:r>
        <w:rPr>
          <w:rFonts w:ascii="Times" w:eastAsia="Times New Roman" w:hAnsi="Times" w:cs="Times New Roman"/>
          <w:sz w:val="22"/>
          <w:szCs w:val="22"/>
        </w:rPr>
        <w:t xml:space="preserve">A BILL </w:t>
      </w:r>
      <w:r w:rsidR="003B1501" w:rsidRPr="004B6688">
        <w:rPr>
          <w:rFonts w:ascii="Times" w:eastAsia="Times New Roman" w:hAnsi="Times" w:cs="Times New Roman"/>
          <w:sz w:val="22"/>
          <w:szCs w:val="22"/>
        </w:rPr>
        <w:t>FOR AN ACT relating to insurance;</w:t>
      </w:r>
      <w:r w:rsidR="0094506B">
        <w:rPr>
          <w:rFonts w:ascii="Times" w:eastAsia="Times New Roman" w:hAnsi="Times" w:cs="Times New Roman"/>
          <w:sz w:val="22"/>
          <w:szCs w:val="22"/>
        </w:rPr>
        <w:t xml:space="preserve"> to provide definitions;</w:t>
      </w:r>
      <w:r w:rsidR="003B1501" w:rsidRPr="004B6688">
        <w:rPr>
          <w:rFonts w:ascii="Times" w:eastAsia="Times New Roman" w:hAnsi="Times" w:cs="Times New Roman"/>
          <w:sz w:val="22"/>
          <w:szCs w:val="22"/>
        </w:rPr>
        <w:t xml:space="preserve"> to provide requirements for parity transparency;</w:t>
      </w:r>
      <w:r w:rsidR="00A228D8">
        <w:rPr>
          <w:rFonts w:ascii="Times" w:eastAsia="Times New Roman" w:hAnsi="Times" w:cs="Times New Roman"/>
          <w:sz w:val="22"/>
          <w:szCs w:val="22"/>
        </w:rPr>
        <w:t xml:space="preserve"> </w:t>
      </w:r>
      <w:r w:rsidR="003B1501" w:rsidRPr="004B6688">
        <w:rPr>
          <w:rFonts w:ascii="Times" w:eastAsia="Times New Roman" w:hAnsi="Times" w:cs="Times New Roman"/>
          <w:sz w:val="22"/>
          <w:szCs w:val="22"/>
        </w:rPr>
        <w:t>to provide dutie</w:t>
      </w:r>
      <w:r w:rsidR="0094506B">
        <w:rPr>
          <w:rFonts w:ascii="Times" w:eastAsia="Times New Roman" w:hAnsi="Times" w:cs="Times New Roman"/>
          <w:sz w:val="22"/>
          <w:szCs w:val="22"/>
        </w:rPr>
        <w:t>s for the Director of Insurance; and to provide requirements for coverage of alcohol or substance abuse medications.</w:t>
      </w:r>
    </w:p>
    <w:p w14:paraId="5D9FA96A" w14:textId="77777777" w:rsidR="006B3754" w:rsidRPr="004B6688" w:rsidRDefault="006B3754" w:rsidP="007413E7">
      <w:pPr>
        <w:spacing w:line="276" w:lineRule="auto"/>
        <w:rPr>
          <w:rFonts w:ascii="Times" w:eastAsia="Times New Roman" w:hAnsi="Times" w:cs="Times New Roman"/>
          <w:sz w:val="22"/>
          <w:szCs w:val="22"/>
        </w:rPr>
      </w:pPr>
      <w:r w:rsidRPr="004B6688">
        <w:rPr>
          <w:rFonts w:ascii="Times" w:eastAsia="Times New Roman" w:hAnsi="Times" w:cs="Times New Roman"/>
          <w:sz w:val="22"/>
          <w:szCs w:val="22"/>
        </w:rPr>
        <w:t>Be it enacted by the people of the State of Nebraska,</w:t>
      </w:r>
    </w:p>
    <w:p w14:paraId="36223080" w14:textId="58AB605C" w:rsidR="006B3754" w:rsidRDefault="006B3754" w:rsidP="007413E7">
      <w:pPr>
        <w:spacing w:line="276" w:lineRule="auto"/>
        <w:rPr>
          <w:rFonts w:ascii="Times" w:eastAsia="Times New Roman" w:hAnsi="Times" w:cs="Times New Roman"/>
          <w:sz w:val="20"/>
          <w:szCs w:val="20"/>
        </w:rPr>
      </w:pPr>
      <w:r>
        <w:rPr>
          <w:rFonts w:ascii="Times" w:eastAsia="Times New Roman" w:hAnsi="Times" w:cs="Times New Roman"/>
          <w:sz w:val="20"/>
          <w:szCs w:val="20"/>
        </w:rPr>
        <w:br w:type="page"/>
      </w:r>
    </w:p>
    <w:p w14:paraId="146619E5" w14:textId="3EED45E6" w:rsidR="00354CF3" w:rsidRPr="004B6688" w:rsidRDefault="00354CF3" w:rsidP="007413E7">
      <w:pPr>
        <w:spacing w:line="276" w:lineRule="auto"/>
        <w:rPr>
          <w:rFonts w:ascii="Times" w:eastAsia="Times New Roman" w:hAnsi="Times" w:cs="Times New Roman"/>
          <w:sz w:val="22"/>
          <w:szCs w:val="22"/>
        </w:rPr>
      </w:pPr>
      <w:r>
        <w:rPr>
          <w:rFonts w:ascii="Times" w:eastAsia="Times New Roman" w:hAnsi="Times" w:cs="Times New Roman"/>
          <w:sz w:val="20"/>
          <w:szCs w:val="20"/>
        </w:rPr>
        <w:lastRenderedPageBreak/>
        <w:tab/>
      </w:r>
      <w:r w:rsidRPr="004B6688">
        <w:rPr>
          <w:rFonts w:ascii="Times" w:eastAsia="Times New Roman" w:hAnsi="Times" w:cs="Times New Roman"/>
          <w:sz w:val="22"/>
          <w:szCs w:val="22"/>
        </w:rPr>
        <w:t xml:space="preserve">Section 1. </w:t>
      </w:r>
      <w:r w:rsidR="00384824">
        <w:rPr>
          <w:rFonts w:ascii="Times" w:eastAsia="Times New Roman" w:hAnsi="Times" w:cs="Times New Roman"/>
          <w:sz w:val="22"/>
          <w:szCs w:val="22"/>
        </w:rPr>
        <w:t xml:space="preserve"> </w:t>
      </w:r>
      <w:r w:rsidRPr="003733D3">
        <w:rPr>
          <w:rFonts w:ascii="Times" w:eastAsia="Times New Roman" w:hAnsi="Times" w:cs="Times New Roman"/>
          <w:sz w:val="22"/>
          <w:szCs w:val="22"/>
          <w:u w:val="single"/>
        </w:rPr>
        <w:t>(1) For the purposes of this section:</w:t>
      </w:r>
    </w:p>
    <w:p w14:paraId="4A13217C" w14:textId="5AF868BD" w:rsidR="000B7A14" w:rsidRDefault="00882460" w:rsidP="007413E7">
      <w:pPr>
        <w:spacing w:line="276" w:lineRule="auto"/>
        <w:rPr>
          <w:rFonts w:ascii="Times" w:eastAsia="Times New Roman" w:hAnsi="Times" w:cs="Times New Roman"/>
          <w:sz w:val="22"/>
          <w:szCs w:val="22"/>
          <w:u w:val="single"/>
        </w:rPr>
      </w:pPr>
      <w:r>
        <w:rPr>
          <w:rFonts w:ascii="Times" w:eastAsia="Times New Roman" w:hAnsi="Times" w:cs="Times New Roman"/>
          <w:sz w:val="22"/>
          <w:szCs w:val="22"/>
        </w:rPr>
        <w:tab/>
      </w:r>
      <w:r w:rsidRPr="003733D3">
        <w:rPr>
          <w:rFonts w:ascii="Times" w:eastAsia="Times New Roman" w:hAnsi="Times" w:cs="Times New Roman"/>
          <w:sz w:val="22"/>
          <w:szCs w:val="22"/>
          <w:u w:val="single"/>
        </w:rPr>
        <w:t>(a) Director shall mean the Director of Insurance;</w:t>
      </w:r>
    </w:p>
    <w:p w14:paraId="2E03558A" w14:textId="0B3F38D4" w:rsidR="000B7A14" w:rsidRPr="000B7A14" w:rsidRDefault="000B7A14" w:rsidP="000B7A14">
      <w:pPr>
        <w:spacing w:line="276" w:lineRule="auto"/>
        <w:rPr>
          <w:rFonts w:ascii="Times" w:eastAsia="Times New Roman" w:hAnsi="Times" w:cs="Times New Roman"/>
          <w:sz w:val="22"/>
          <w:szCs w:val="22"/>
          <w:u w:val="single"/>
        </w:rPr>
      </w:pPr>
      <w:r>
        <w:rPr>
          <w:rFonts w:ascii="Times" w:eastAsia="Times New Roman" w:hAnsi="Times" w:cs="Times New Roman"/>
          <w:sz w:val="22"/>
          <w:szCs w:val="22"/>
        </w:rPr>
        <w:tab/>
      </w:r>
      <w:r>
        <w:rPr>
          <w:rFonts w:ascii="Times" w:eastAsia="Times New Roman" w:hAnsi="Times" w:cs="Times New Roman"/>
          <w:sz w:val="22"/>
          <w:szCs w:val="22"/>
          <w:u w:val="single"/>
        </w:rPr>
        <w:t xml:space="preserve">(b) Classification of benefits means </w:t>
      </w:r>
      <w:r w:rsidRPr="000B7A14">
        <w:rPr>
          <w:rFonts w:ascii="Times" w:eastAsia="Times New Roman" w:hAnsi="Times" w:cs="Times New Roman"/>
          <w:sz w:val="22"/>
          <w:szCs w:val="22"/>
          <w:u w:val="single"/>
        </w:rPr>
        <w:t>inpatient in-network benefits,</w:t>
      </w:r>
    </w:p>
    <w:p w14:paraId="50F55484" w14:textId="77777777" w:rsidR="000B7A14" w:rsidRPr="000B7A14" w:rsidRDefault="000B7A14" w:rsidP="000B7A14">
      <w:pPr>
        <w:spacing w:line="276" w:lineRule="auto"/>
        <w:rPr>
          <w:rFonts w:ascii="Times" w:eastAsia="Times New Roman" w:hAnsi="Times" w:cs="Times New Roman"/>
          <w:sz w:val="22"/>
          <w:szCs w:val="22"/>
          <w:u w:val="single"/>
        </w:rPr>
      </w:pPr>
      <w:r w:rsidRPr="000B7A14">
        <w:rPr>
          <w:rFonts w:ascii="Times" w:eastAsia="Times New Roman" w:hAnsi="Times" w:cs="Times New Roman"/>
          <w:sz w:val="22"/>
          <w:szCs w:val="22"/>
          <w:u w:val="single"/>
        </w:rPr>
        <w:t>inpatient out-of-network benefits, outpatient in-network benefits, outpatient</w:t>
      </w:r>
    </w:p>
    <w:p w14:paraId="6EB82D6F" w14:textId="77777777" w:rsidR="000B7A14" w:rsidRPr="000B7A14" w:rsidRDefault="000B7A14" w:rsidP="000B7A14">
      <w:pPr>
        <w:spacing w:line="276" w:lineRule="auto"/>
        <w:rPr>
          <w:rFonts w:ascii="Times" w:eastAsia="Times New Roman" w:hAnsi="Times" w:cs="Times New Roman"/>
          <w:sz w:val="22"/>
          <w:szCs w:val="22"/>
          <w:u w:val="single"/>
        </w:rPr>
      </w:pPr>
      <w:r w:rsidRPr="000B7A14">
        <w:rPr>
          <w:rFonts w:ascii="Times" w:eastAsia="Times New Roman" w:hAnsi="Times" w:cs="Times New Roman"/>
          <w:sz w:val="22"/>
          <w:szCs w:val="22"/>
          <w:u w:val="single"/>
        </w:rPr>
        <w:t>out-of-network benefits, prescription drug benefits, and emergency care</w:t>
      </w:r>
    </w:p>
    <w:p w14:paraId="2AB3E13A" w14:textId="77777777" w:rsidR="000B7A14" w:rsidRPr="000B7A14" w:rsidRDefault="000B7A14" w:rsidP="000B7A14">
      <w:pPr>
        <w:spacing w:line="276" w:lineRule="auto"/>
        <w:rPr>
          <w:rFonts w:ascii="Times" w:eastAsia="Times New Roman" w:hAnsi="Times" w:cs="Times New Roman"/>
          <w:sz w:val="22"/>
          <w:szCs w:val="22"/>
          <w:u w:val="single"/>
        </w:rPr>
      </w:pPr>
      <w:r w:rsidRPr="000B7A14">
        <w:rPr>
          <w:rFonts w:ascii="Times" w:eastAsia="Times New Roman" w:hAnsi="Times" w:cs="Times New Roman"/>
          <w:sz w:val="22"/>
          <w:szCs w:val="22"/>
          <w:u w:val="single"/>
        </w:rPr>
        <w:t>benefits. These classifications of benefits are the only classifications that may</w:t>
      </w:r>
    </w:p>
    <w:p w14:paraId="51D4491C" w14:textId="77777777" w:rsidR="000B7A14" w:rsidRPr="000B7A14" w:rsidRDefault="000B7A14" w:rsidP="000B7A14">
      <w:pPr>
        <w:spacing w:line="276" w:lineRule="auto"/>
        <w:rPr>
          <w:rFonts w:ascii="Times" w:eastAsia="Times New Roman" w:hAnsi="Times" w:cs="Times New Roman"/>
          <w:sz w:val="22"/>
          <w:szCs w:val="22"/>
          <w:u w:val="single"/>
        </w:rPr>
      </w:pPr>
      <w:r w:rsidRPr="000B7A14">
        <w:rPr>
          <w:rFonts w:ascii="Times" w:eastAsia="Times New Roman" w:hAnsi="Times" w:cs="Times New Roman"/>
          <w:sz w:val="22"/>
          <w:szCs w:val="22"/>
          <w:u w:val="single"/>
        </w:rPr>
        <w:t>be used except that there may be sub-classifications within both outpatient</w:t>
      </w:r>
    </w:p>
    <w:p w14:paraId="5805853F" w14:textId="77777777" w:rsidR="000B7A14" w:rsidRPr="000B7A14" w:rsidRDefault="000B7A14" w:rsidP="000B7A14">
      <w:pPr>
        <w:spacing w:line="276" w:lineRule="auto"/>
        <w:rPr>
          <w:rFonts w:ascii="Times" w:eastAsia="Times New Roman" w:hAnsi="Times" w:cs="Times New Roman"/>
          <w:sz w:val="22"/>
          <w:szCs w:val="22"/>
          <w:u w:val="single"/>
        </w:rPr>
      </w:pPr>
      <w:r w:rsidRPr="000B7A14">
        <w:rPr>
          <w:rFonts w:ascii="Times" w:eastAsia="Times New Roman" w:hAnsi="Times" w:cs="Times New Roman"/>
          <w:sz w:val="22"/>
          <w:szCs w:val="22"/>
          <w:u w:val="single"/>
        </w:rPr>
        <w:t>classifications differentiating office visits from other outpatient items and</w:t>
      </w:r>
    </w:p>
    <w:p w14:paraId="66D5A610" w14:textId="77777777" w:rsidR="000B7A14" w:rsidRPr="000B7A14" w:rsidRDefault="000B7A14" w:rsidP="000B7A14">
      <w:pPr>
        <w:spacing w:line="276" w:lineRule="auto"/>
        <w:rPr>
          <w:rFonts w:ascii="Times" w:eastAsia="Times New Roman" w:hAnsi="Times" w:cs="Times New Roman"/>
          <w:sz w:val="22"/>
          <w:szCs w:val="22"/>
          <w:u w:val="single"/>
        </w:rPr>
      </w:pPr>
      <w:r w:rsidRPr="000B7A14">
        <w:rPr>
          <w:rFonts w:ascii="Times" w:eastAsia="Times New Roman" w:hAnsi="Times" w:cs="Times New Roman"/>
          <w:sz w:val="22"/>
          <w:szCs w:val="22"/>
          <w:u w:val="single"/>
        </w:rPr>
        <w:t>services, including outpatient surgery, facility charges for day treatment</w:t>
      </w:r>
    </w:p>
    <w:p w14:paraId="06D6FA92" w14:textId="2D50AE66" w:rsidR="000B7A14" w:rsidRPr="000B7A14" w:rsidRDefault="000B7A14" w:rsidP="000B7A14">
      <w:pPr>
        <w:spacing w:line="276" w:lineRule="auto"/>
        <w:rPr>
          <w:rFonts w:ascii="Times" w:eastAsia="Times New Roman" w:hAnsi="Times" w:cs="Times New Roman"/>
          <w:sz w:val="22"/>
          <w:szCs w:val="22"/>
          <w:u w:val="single"/>
        </w:rPr>
      </w:pPr>
      <w:r w:rsidRPr="000B7A14">
        <w:rPr>
          <w:rFonts w:ascii="Times" w:eastAsia="Times New Roman" w:hAnsi="Times" w:cs="Times New Roman"/>
          <w:sz w:val="22"/>
          <w:szCs w:val="22"/>
          <w:u w:val="single"/>
        </w:rPr>
        <w:t>centers, laboratory charges, and other medical items;</w:t>
      </w:r>
    </w:p>
    <w:p w14:paraId="2BFC25BB" w14:textId="1B159E7A" w:rsidR="00354CF3" w:rsidRPr="003733D3" w:rsidRDefault="000B7A14" w:rsidP="007413E7">
      <w:pPr>
        <w:spacing w:line="276" w:lineRule="auto"/>
        <w:ind w:firstLine="720"/>
        <w:rPr>
          <w:rFonts w:ascii="Times" w:eastAsia="Times New Roman" w:hAnsi="Times" w:cs="Times New Roman"/>
          <w:sz w:val="22"/>
          <w:szCs w:val="22"/>
          <w:u w:val="single"/>
        </w:rPr>
      </w:pPr>
      <w:r>
        <w:rPr>
          <w:rFonts w:ascii="Times" w:eastAsia="Times New Roman" w:hAnsi="Times" w:cs="Times New Roman"/>
          <w:sz w:val="22"/>
          <w:szCs w:val="22"/>
          <w:u w:val="single"/>
        </w:rPr>
        <w:t>(c</w:t>
      </w:r>
      <w:r w:rsidR="00354CF3" w:rsidRPr="003733D3">
        <w:rPr>
          <w:rFonts w:ascii="Times" w:eastAsia="Times New Roman" w:hAnsi="Times" w:cs="Times New Roman"/>
          <w:sz w:val="22"/>
          <w:szCs w:val="22"/>
          <w:u w:val="single"/>
        </w:rPr>
        <w:t>) Health insurance plan means (a) any individual or group sickness and accident insurance policy, individual or group health maintenance organization contract, or individual or group subscriber contract delivered, issued for delivery, or renewed in this state and (b) any self-funded employee benefit plan to the exte</w:t>
      </w:r>
      <w:r w:rsidR="00D2121E">
        <w:rPr>
          <w:rFonts w:ascii="Times" w:eastAsia="Times New Roman" w:hAnsi="Times" w:cs="Times New Roman"/>
          <w:sz w:val="22"/>
          <w:szCs w:val="22"/>
          <w:u w:val="single"/>
        </w:rPr>
        <w:t>nt not preempted by federal law; h</w:t>
      </w:r>
      <w:r w:rsidR="00354CF3" w:rsidRPr="003733D3">
        <w:rPr>
          <w:rFonts w:ascii="Times" w:eastAsia="Times New Roman" w:hAnsi="Times" w:cs="Times New Roman"/>
          <w:sz w:val="22"/>
          <w:szCs w:val="22"/>
          <w:u w:val="single"/>
        </w:rPr>
        <w:t>ealth insurance plan includes any group policy, group contract, or group plan offered or administered by the stat</w:t>
      </w:r>
      <w:r w:rsidR="00D2121E">
        <w:rPr>
          <w:rFonts w:ascii="Times" w:eastAsia="Times New Roman" w:hAnsi="Times" w:cs="Times New Roman"/>
          <w:sz w:val="22"/>
          <w:szCs w:val="22"/>
          <w:u w:val="single"/>
        </w:rPr>
        <w:t>e or its political subdivisions; h</w:t>
      </w:r>
      <w:r w:rsidR="00354CF3" w:rsidRPr="003733D3">
        <w:rPr>
          <w:rFonts w:ascii="Times" w:eastAsia="Times New Roman" w:hAnsi="Times" w:cs="Times New Roman"/>
          <w:sz w:val="22"/>
          <w:szCs w:val="22"/>
          <w:u w:val="single"/>
        </w:rPr>
        <w:t>ealth insurance plan does not include group policies providing coverage for a specified disease, accident-only coverage, hospital indemnity coverag</w:t>
      </w:r>
      <w:r w:rsidR="004B6688" w:rsidRPr="003733D3">
        <w:rPr>
          <w:rFonts w:ascii="Times" w:eastAsia="Times New Roman" w:hAnsi="Times" w:cs="Times New Roman"/>
          <w:sz w:val="22"/>
          <w:szCs w:val="22"/>
          <w:u w:val="single"/>
        </w:rPr>
        <w:t>e, disability income coverage, M</w:t>
      </w:r>
      <w:r w:rsidR="00354CF3" w:rsidRPr="003733D3">
        <w:rPr>
          <w:rFonts w:ascii="Times" w:eastAsia="Times New Roman" w:hAnsi="Times" w:cs="Times New Roman"/>
          <w:sz w:val="22"/>
          <w:szCs w:val="22"/>
          <w:u w:val="single"/>
        </w:rPr>
        <w:t>edicare supplement coverage, long-term care coverage, or</w:t>
      </w:r>
      <w:r w:rsidR="00882460" w:rsidRPr="003733D3">
        <w:rPr>
          <w:rFonts w:ascii="Times" w:eastAsia="Times New Roman" w:hAnsi="Times" w:cs="Times New Roman"/>
          <w:sz w:val="22"/>
          <w:szCs w:val="22"/>
          <w:u w:val="single"/>
        </w:rPr>
        <w:t xml:space="preserve"> other limited-benefit coverage;</w:t>
      </w:r>
    </w:p>
    <w:p w14:paraId="3400FCB3" w14:textId="2A592044" w:rsidR="00354CF3" w:rsidRPr="003733D3" w:rsidRDefault="000B7A14" w:rsidP="007413E7">
      <w:pPr>
        <w:spacing w:line="276" w:lineRule="auto"/>
        <w:rPr>
          <w:rFonts w:ascii="Times" w:eastAsia="Times New Roman" w:hAnsi="Times" w:cs="Times New Roman"/>
          <w:sz w:val="22"/>
          <w:szCs w:val="22"/>
          <w:u w:val="single"/>
        </w:rPr>
      </w:pPr>
      <w:r>
        <w:rPr>
          <w:rFonts w:ascii="Times" w:eastAsia="Times New Roman" w:hAnsi="Times" w:cs="Times New Roman"/>
          <w:sz w:val="22"/>
          <w:szCs w:val="22"/>
          <w:u w:val="single"/>
        </w:rPr>
        <w:tab/>
        <w:t>(d</w:t>
      </w:r>
      <w:r w:rsidR="00354CF3" w:rsidRPr="003733D3">
        <w:rPr>
          <w:rFonts w:ascii="Times" w:eastAsia="Times New Roman" w:hAnsi="Times" w:cs="Times New Roman"/>
          <w:sz w:val="22"/>
          <w:szCs w:val="22"/>
          <w:u w:val="single"/>
        </w:rPr>
        <w:t>) Mental health and alcohol or substance abuse benefits mean benefits for the diagnosis and treatment of any condition or disorder that involves a mental health condition or substance use disorder that falls under any of the diagnostic categories listed in the mental disorders section of the current edition of the International Classification of Disease or that is listed in the mental disorders section of the most recent version of the Diagnostic and Statistical Manual of Mental Disorders;</w:t>
      </w:r>
      <w:r w:rsidR="007C6444" w:rsidRPr="003733D3">
        <w:rPr>
          <w:rFonts w:ascii="Times" w:eastAsia="Times New Roman" w:hAnsi="Times" w:cs="Times New Roman"/>
          <w:sz w:val="22"/>
          <w:szCs w:val="22"/>
          <w:u w:val="single"/>
        </w:rPr>
        <w:t xml:space="preserve"> and</w:t>
      </w:r>
    </w:p>
    <w:p w14:paraId="4A15F4D6" w14:textId="480CC565" w:rsidR="00354CF3" w:rsidRPr="003733D3" w:rsidRDefault="007C6444" w:rsidP="007413E7">
      <w:pPr>
        <w:spacing w:line="276" w:lineRule="auto"/>
        <w:rPr>
          <w:rFonts w:ascii="Times" w:eastAsia="Times New Roman" w:hAnsi="Times" w:cs="Times New Roman"/>
          <w:sz w:val="22"/>
          <w:szCs w:val="22"/>
          <w:u w:val="single"/>
        </w:rPr>
      </w:pPr>
      <w:r w:rsidRPr="003733D3">
        <w:rPr>
          <w:rFonts w:ascii="Times" w:eastAsia="Times New Roman" w:hAnsi="Times" w:cs="Times New Roman"/>
          <w:sz w:val="22"/>
          <w:szCs w:val="22"/>
          <w:u w:val="single"/>
        </w:rPr>
        <w:tab/>
      </w:r>
      <w:r w:rsidR="000B7A14">
        <w:rPr>
          <w:rFonts w:ascii="Times" w:eastAsia="Times New Roman" w:hAnsi="Times" w:cs="Times New Roman"/>
          <w:sz w:val="22"/>
          <w:szCs w:val="22"/>
          <w:u w:val="single"/>
        </w:rPr>
        <w:t>(e</w:t>
      </w:r>
      <w:r w:rsidRPr="003733D3">
        <w:rPr>
          <w:rFonts w:ascii="Times" w:eastAsia="Times New Roman" w:hAnsi="Times" w:cs="Times New Roman"/>
          <w:sz w:val="22"/>
          <w:szCs w:val="22"/>
          <w:u w:val="single"/>
        </w:rPr>
        <w:t>) Nonquantitative treatment limitations mean limitations that are not expressed numerically, but otherwise limit the scope or duration of benefits for treatment.</w:t>
      </w:r>
    </w:p>
    <w:p w14:paraId="1EB4071C" w14:textId="664C1E87" w:rsidR="00E31A8A" w:rsidRPr="003733D3" w:rsidRDefault="00384824" w:rsidP="007413E7">
      <w:pPr>
        <w:spacing w:line="276" w:lineRule="auto"/>
        <w:ind w:firstLine="720"/>
        <w:rPr>
          <w:rFonts w:ascii="Times" w:eastAsia="Times New Roman" w:hAnsi="Times" w:cs="Times New Roman"/>
          <w:sz w:val="22"/>
          <w:szCs w:val="22"/>
          <w:u w:val="single"/>
        </w:rPr>
      </w:pPr>
      <w:r>
        <w:rPr>
          <w:rFonts w:ascii="Times" w:eastAsia="Times New Roman" w:hAnsi="Times" w:cs="Times New Roman"/>
          <w:sz w:val="22"/>
          <w:szCs w:val="22"/>
          <w:u w:val="single"/>
        </w:rPr>
        <w:t>Sec</w:t>
      </w:r>
      <w:r w:rsidR="00E067FD">
        <w:rPr>
          <w:rFonts w:ascii="Times" w:eastAsia="Times New Roman" w:hAnsi="Times" w:cs="Times New Roman"/>
          <w:sz w:val="22"/>
          <w:szCs w:val="22"/>
          <w:u w:val="single"/>
        </w:rPr>
        <w:t>.</w:t>
      </w:r>
      <w:r w:rsidR="00354CF3" w:rsidRPr="003733D3">
        <w:rPr>
          <w:rFonts w:ascii="Times" w:eastAsia="Times New Roman" w:hAnsi="Times" w:cs="Times New Roman"/>
          <w:sz w:val="22"/>
          <w:szCs w:val="22"/>
          <w:u w:val="single"/>
        </w:rPr>
        <w:t xml:space="preserve"> 2</w:t>
      </w:r>
      <w:r w:rsidR="00E31A8A" w:rsidRPr="003733D3">
        <w:rPr>
          <w:rFonts w:ascii="Times" w:eastAsia="Times New Roman" w:hAnsi="Times" w:cs="Times New Roman"/>
          <w:sz w:val="22"/>
          <w:szCs w:val="22"/>
          <w:u w:val="single"/>
        </w:rPr>
        <w:t xml:space="preserve">. </w:t>
      </w:r>
      <w:r>
        <w:rPr>
          <w:rFonts w:ascii="Times" w:eastAsia="Times New Roman" w:hAnsi="Times" w:cs="Times New Roman"/>
          <w:sz w:val="22"/>
          <w:szCs w:val="22"/>
          <w:u w:val="single"/>
        </w:rPr>
        <w:t xml:space="preserve"> </w:t>
      </w:r>
      <w:r w:rsidR="00E31A8A" w:rsidRPr="003733D3">
        <w:rPr>
          <w:rFonts w:ascii="Times" w:eastAsia="Times New Roman" w:hAnsi="Times" w:cs="Times New Roman"/>
          <w:sz w:val="22"/>
          <w:szCs w:val="22"/>
          <w:u w:val="single"/>
        </w:rPr>
        <w:t xml:space="preserve">(1) All insurers that deliver, issue, or renew any health insurance plan that provides coverage of mental health and alcohol or </w:t>
      </w:r>
      <w:r w:rsidR="00EB605D" w:rsidRPr="003733D3">
        <w:rPr>
          <w:rFonts w:ascii="Times" w:eastAsia="Times New Roman" w:hAnsi="Times" w:cs="Times New Roman"/>
          <w:sz w:val="22"/>
          <w:szCs w:val="22"/>
          <w:u w:val="single"/>
        </w:rPr>
        <w:t>substance</w:t>
      </w:r>
      <w:r w:rsidR="00E31A8A" w:rsidRPr="003733D3">
        <w:rPr>
          <w:rFonts w:ascii="Times" w:eastAsia="Times New Roman" w:hAnsi="Times" w:cs="Times New Roman"/>
          <w:sz w:val="22"/>
          <w:szCs w:val="22"/>
          <w:u w:val="single"/>
        </w:rPr>
        <w:t xml:space="preserve"> abuse benefits shall submit an annual report to the </w:t>
      </w:r>
      <w:r w:rsidR="00E94E62" w:rsidRPr="003733D3">
        <w:rPr>
          <w:rFonts w:ascii="Times" w:eastAsia="Times New Roman" w:hAnsi="Times" w:cs="Times New Roman"/>
          <w:sz w:val="22"/>
          <w:szCs w:val="22"/>
          <w:u w:val="single"/>
        </w:rPr>
        <w:t>Director</w:t>
      </w:r>
      <w:r w:rsidR="00E31A8A" w:rsidRPr="003733D3">
        <w:rPr>
          <w:rFonts w:ascii="Times" w:eastAsia="Times New Roman" w:hAnsi="Times" w:cs="Times New Roman"/>
          <w:sz w:val="22"/>
          <w:szCs w:val="22"/>
          <w:u w:val="single"/>
        </w:rPr>
        <w:t xml:space="preserve"> on or before March 31</w:t>
      </w:r>
      <w:r w:rsidR="00E31A8A" w:rsidRPr="003733D3">
        <w:rPr>
          <w:rFonts w:ascii="Times" w:eastAsia="Times New Roman" w:hAnsi="Times" w:cs="Times New Roman"/>
          <w:sz w:val="22"/>
          <w:szCs w:val="22"/>
          <w:u w:val="single"/>
          <w:vertAlign w:val="superscript"/>
        </w:rPr>
        <w:t>st</w:t>
      </w:r>
      <w:r w:rsidR="00E31A8A" w:rsidRPr="003733D3">
        <w:rPr>
          <w:rFonts w:ascii="Times" w:eastAsia="Times New Roman" w:hAnsi="Times" w:cs="Times New Roman"/>
          <w:sz w:val="22"/>
          <w:szCs w:val="22"/>
          <w:u w:val="single"/>
        </w:rPr>
        <w:t xml:space="preserve"> that contains the following information:</w:t>
      </w:r>
    </w:p>
    <w:p w14:paraId="63F8A5BB" w14:textId="151C998D" w:rsidR="00E31A8A" w:rsidRPr="003733D3" w:rsidRDefault="00E31A8A" w:rsidP="007413E7">
      <w:pPr>
        <w:spacing w:line="276" w:lineRule="auto"/>
        <w:rPr>
          <w:rFonts w:ascii="Times" w:eastAsia="Times New Roman" w:hAnsi="Times" w:cs="Times New Roman"/>
          <w:sz w:val="22"/>
          <w:szCs w:val="22"/>
          <w:u w:val="single"/>
        </w:rPr>
      </w:pPr>
      <w:r w:rsidRPr="003733D3">
        <w:rPr>
          <w:rFonts w:ascii="Times" w:eastAsia="Times New Roman" w:hAnsi="Times" w:cs="Times New Roman"/>
          <w:sz w:val="22"/>
          <w:szCs w:val="22"/>
          <w:u w:val="single"/>
        </w:rPr>
        <w:tab/>
        <w:t xml:space="preserve">(a) A description of the process used to develop or select the medical necessity criteria for mental health and </w:t>
      </w:r>
      <w:r w:rsidR="00EB605D" w:rsidRPr="003733D3">
        <w:rPr>
          <w:rFonts w:ascii="Times" w:eastAsia="Times New Roman" w:hAnsi="Times" w:cs="Times New Roman"/>
          <w:sz w:val="22"/>
          <w:szCs w:val="22"/>
          <w:u w:val="single"/>
        </w:rPr>
        <w:t>alcohol or substance abuse</w:t>
      </w:r>
      <w:r w:rsidRPr="003733D3">
        <w:rPr>
          <w:rFonts w:ascii="Times" w:eastAsia="Times New Roman" w:hAnsi="Times" w:cs="Times New Roman"/>
          <w:sz w:val="22"/>
          <w:szCs w:val="22"/>
          <w:u w:val="single"/>
        </w:rPr>
        <w:t xml:space="preserve"> benefits and the process used to develop or select the medical necessity criteria for</w:t>
      </w:r>
      <w:r w:rsidR="00F231A3" w:rsidRPr="003733D3">
        <w:rPr>
          <w:rFonts w:ascii="Times" w:eastAsia="Times New Roman" w:hAnsi="Times" w:cs="Times New Roman"/>
          <w:sz w:val="22"/>
          <w:szCs w:val="22"/>
          <w:u w:val="single"/>
        </w:rPr>
        <w:t xml:space="preserve"> medical and surgical benefits;</w:t>
      </w:r>
    </w:p>
    <w:p w14:paraId="54FAF4BD" w14:textId="52D16F85" w:rsidR="00E31A8A" w:rsidRPr="003733D3" w:rsidRDefault="00EB605D" w:rsidP="007413E7">
      <w:pPr>
        <w:spacing w:line="276" w:lineRule="auto"/>
        <w:ind w:firstLine="720"/>
        <w:rPr>
          <w:rFonts w:ascii="Times" w:eastAsia="Times New Roman" w:hAnsi="Times" w:cs="Times New Roman"/>
          <w:sz w:val="22"/>
          <w:szCs w:val="22"/>
          <w:u w:val="single"/>
        </w:rPr>
      </w:pPr>
      <w:r w:rsidRPr="003733D3">
        <w:rPr>
          <w:rFonts w:ascii="Times" w:eastAsia="Times New Roman" w:hAnsi="Times" w:cs="Times New Roman"/>
          <w:sz w:val="22"/>
          <w:szCs w:val="22"/>
          <w:u w:val="single"/>
        </w:rPr>
        <w:t xml:space="preserve">(b) </w:t>
      </w:r>
      <w:r w:rsidR="00E31A8A" w:rsidRPr="003733D3">
        <w:rPr>
          <w:rFonts w:ascii="Times" w:eastAsia="Times New Roman" w:hAnsi="Times" w:cs="Times New Roman"/>
          <w:sz w:val="22"/>
          <w:szCs w:val="22"/>
          <w:u w:val="single"/>
        </w:rPr>
        <w:t xml:space="preserve">Identification of all non-quantitative treatment limitations (NQTLs) that are applied to both mental health and </w:t>
      </w:r>
      <w:r w:rsidRPr="003733D3">
        <w:rPr>
          <w:rFonts w:ascii="Times" w:eastAsia="Times New Roman" w:hAnsi="Times" w:cs="Times New Roman"/>
          <w:sz w:val="22"/>
          <w:szCs w:val="22"/>
          <w:u w:val="single"/>
        </w:rPr>
        <w:t xml:space="preserve">alcohol or </w:t>
      </w:r>
      <w:r w:rsidR="00557A49" w:rsidRPr="003733D3">
        <w:rPr>
          <w:rFonts w:ascii="Times" w:eastAsia="Times New Roman" w:hAnsi="Times" w:cs="Times New Roman"/>
          <w:sz w:val="22"/>
          <w:szCs w:val="22"/>
          <w:u w:val="single"/>
        </w:rPr>
        <w:t>substance</w:t>
      </w:r>
      <w:r w:rsidRPr="003733D3">
        <w:rPr>
          <w:rFonts w:ascii="Times" w:eastAsia="Times New Roman" w:hAnsi="Times" w:cs="Times New Roman"/>
          <w:sz w:val="22"/>
          <w:szCs w:val="22"/>
          <w:u w:val="single"/>
        </w:rPr>
        <w:t xml:space="preserve"> abuse</w:t>
      </w:r>
      <w:r w:rsidR="00E31A8A" w:rsidRPr="003733D3">
        <w:rPr>
          <w:rFonts w:ascii="Times" w:eastAsia="Times New Roman" w:hAnsi="Times" w:cs="Times New Roman"/>
          <w:sz w:val="22"/>
          <w:szCs w:val="22"/>
          <w:u w:val="single"/>
        </w:rPr>
        <w:t xml:space="preserve"> benefits and medical and surgical benefits within each classification of benefits; there may be no separate NQTLs that apply to mental health and </w:t>
      </w:r>
      <w:r w:rsidRPr="003733D3">
        <w:rPr>
          <w:rFonts w:ascii="Times" w:eastAsia="Times New Roman" w:hAnsi="Times" w:cs="Times New Roman"/>
          <w:sz w:val="22"/>
          <w:szCs w:val="22"/>
          <w:u w:val="single"/>
        </w:rPr>
        <w:t xml:space="preserve">alcohol or </w:t>
      </w:r>
      <w:r w:rsidR="00557A49" w:rsidRPr="003733D3">
        <w:rPr>
          <w:rFonts w:ascii="Times" w:eastAsia="Times New Roman" w:hAnsi="Times" w:cs="Times New Roman"/>
          <w:sz w:val="22"/>
          <w:szCs w:val="22"/>
          <w:u w:val="single"/>
        </w:rPr>
        <w:t>substance</w:t>
      </w:r>
      <w:r w:rsidRPr="003733D3">
        <w:rPr>
          <w:rFonts w:ascii="Times" w:eastAsia="Times New Roman" w:hAnsi="Times" w:cs="Times New Roman"/>
          <w:sz w:val="22"/>
          <w:szCs w:val="22"/>
          <w:u w:val="single"/>
        </w:rPr>
        <w:t xml:space="preserve"> abuse </w:t>
      </w:r>
      <w:r w:rsidR="00E31A8A" w:rsidRPr="003733D3">
        <w:rPr>
          <w:rFonts w:ascii="Times" w:eastAsia="Times New Roman" w:hAnsi="Times" w:cs="Times New Roman"/>
          <w:sz w:val="22"/>
          <w:szCs w:val="22"/>
          <w:u w:val="single"/>
        </w:rPr>
        <w:t>benefits but do not apply to medical and surgical benefits within</w:t>
      </w:r>
      <w:r w:rsidR="00F231A3" w:rsidRPr="003733D3">
        <w:rPr>
          <w:rFonts w:ascii="Times" w:eastAsia="Times New Roman" w:hAnsi="Times" w:cs="Times New Roman"/>
          <w:sz w:val="22"/>
          <w:szCs w:val="22"/>
          <w:u w:val="single"/>
        </w:rPr>
        <w:t xml:space="preserve"> any classification of benefits;</w:t>
      </w:r>
    </w:p>
    <w:p w14:paraId="3A8BCF87" w14:textId="19358347" w:rsidR="00E31A8A" w:rsidRPr="003733D3" w:rsidRDefault="00EB605D" w:rsidP="007413E7">
      <w:pPr>
        <w:spacing w:line="276" w:lineRule="auto"/>
        <w:ind w:firstLine="720"/>
        <w:rPr>
          <w:rFonts w:ascii="Times" w:eastAsia="Times New Roman" w:hAnsi="Times" w:cs="Times New Roman"/>
          <w:sz w:val="22"/>
          <w:szCs w:val="22"/>
          <w:u w:val="single"/>
        </w:rPr>
      </w:pPr>
      <w:r w:rsidRPr="003733D3">
        <w:rPr>
          <w:rFonts w:ascii="Times" w:eastAsia="Times New Roman" w:hAnsi="Times" w:cs="Times New Roman"/>
          <w:sz w:val="22"/>
          <w:szCs w:val="22"/>
          <w:u w:val="single"/>
        </w:rPr>
        <w:t>(c)</w:t>
      </w:r>
      <w:r w:rsidR="00652BE0" w:rsidRPr="003733D3">
        <w:rPr>
          <w:rFonts w:ascii="Times" w:eastAsia="Times New Roman" w:hAnsi="Times" w:cs="Times New Roman"/>
          <w:sz w:val="22"/>
          <w:szCs w:val="22"/>
          <w:u w:val="single"/>
        </w:rPr>
        <w:t xml:space="preserve"> </w:t>
      </w:r>
      <w:r w:rsidR="00E31A8A" w:rsidRPr="003733D3">
        <w:rPr>
          <w:rFonts w:ascii="Times" w:eastAsia="Times New Roman" w:hAnsi="Times" w:cs="Times New Roman"/>
          <w:sz w:val="22"/>
          <w:szCs w:val="22"/>
          <w:u w:val="single"/>
        </w:rPr>
        <w:t xml:space="preserve">The results of an analysis that demonstrates that for the medical necessity criteria described in item (a) and for each NQTL identified in item (b), as written and in operation, the processes, strategies, evidentiary standards, or other factors used in applying the medical necessity criteria and each NQTL to mental health and </w:t>
      </w:r>
      <w:r w:rsidRPr="003733D3">
        <w:rPr>
          <w:rFonts w:ascii="Times" w:eastAsia="Times New Roman" w:hAnsi="Times" w:cs="Times New Roman"/>
          <w:sz w:val="22"/>
          <w:szCs w:val="22"/>
          <w:u w:val="single"/>
        </w:rPr>
        <w:t xml:space="preserve">alcohol or </w:t>
      </w:r>
      <w:r w:rsidR="00557A49" w:rsidRPr="003733D3">
        <w:rPr>
          <w:rFonts w:ascii="Times" w:eastAsia="Times New Roman" w:hAnsi="Times" w:cs="Times New Roman"/>
          <w:sz w:val="22"/>
          <w:szCs w:val="22"/>
          <w:u w:val="single"/>
        </w:rPr>
        <w:t>substance</w:t>
      </w:r>
      <w:r w:rsidRPr="003733D3">
        <w:rPr>
          <w:rFonts w:ascii="Times" w:eastAsia="Times New Roman" w:hAnsi="Times" w:cs="Times New Roman"/>
          <w:sz w:val="22"/>
          <w:szCs w:val="22"/>
          <w:u w:val="single"/>
        </w:rPr>
        <w:t xml:space="preserve"> abuse</w:t>
      </w:r>
      <w:r w:rsidR="00E31A8A" w:rsidRPr="003733D3">
        <w:rPr>
          <w:rFonts w:ascii="Times" w:eastAsia="Times New Roman" w:hAnsi="Times" w:cs="Times New Roman"/>
          <w:sz w:val="22"/>
          <w:szCs w:val="22"/>
          <w:u w:val="single"/>
        </w:rPr>
        <w:t xml:space="preserve">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6383AEB0" w14:textId="47B01456" w:rsidR="00F231A3" w:rsidRPr="003733D3" w:rsidRDefault="00F231A3" w:rsidP="007413E7">
      <w:pPr>
        <w:spacing w:line="276" w:lineRule="auto"/>
        <w:ind w:firstLine="720"/>
        <w:rPr>
          <w:rFonts w:ascii="Times" w:eastAsia="Times New Roman" w:hAnsi="Times" w:cs="Times New Roman"/>
          <w:sz w:val="22"/>
          <w:szCs w:val="22"/>
          <w:u w:val="single"/>
        </w:rPr>
      </w:pPr>
      <w:r w:rsidRPr="003733D3">
        <w:rPr>
          <w:rFonts w:ascii="Times" w:eastAsia="Times New Roman" w:hAnsi="Times" w:cs="Times New Roman"/>
          <w:sz w:val="22"/>
          <w:szCs w:val="22"/>
          <w:u w:val="single"/>
        </w:rPr>
        <w:t xml:space="preserve">(i) Identify the factors used to determine that an NQTL will apply to a benefit, including factors that were considered but rejected; </w:t>
      </w:r>
    </w:p>
    <w:p w14:paraId="4DD17E89" w14:textId="49090AF9" w:rsidR="00F231A3" w:rsidRPr="003733D3" w:rsidRDefault="00F231A3" w:rsidP="007413E7">
      <w:pPr>
        <w:spacing w:line="276" w:lineRule="auto"/>
        <w:ind w:firstLine="720"/>
        <w:rPr>
          <w:rFonts w:ascii="Times" w:eastAsia="Times New Roman" w:hAnsi="Times" w:cs="Times New Roman"/>
          <w:sz w:val="22"/>
          <w:szCs w:val="22"/>
          <w:u w:val="single"/>
        </w:rPr>
      </w:pPr>
      <w:r w:rsidRPr="003733D3">
        <w:rPr>
          <w:rFonts w:ascii="Times" w:eastAsia="Times New Roman" w:hAnsi="Times" w:cs="Times New Roman"/>
          <w:sz w:val="22"/>
          <w:szCs w:val="22"/>
          <w:u w:val="single"/>
        </w:rPr>
        <w:t>(ii) Identify and define the specific evidentiary standards used to define the factors and any other evidence relied upon in designing each NQTL;</w:t>
      </w:r>
    </w:p>
    <w:p w14:paraId="78F03D7C" w14:textId="5FDB03D9" w:rsidR="00F231A3" w:rsidRPr="003733D3" w:rsidRDefault="00F231A3" w:rsidP="007413E7">
      <w:pPr>
        <w:spacing w:line="276" w:lineRule="auto"/>
        <w:ind w:firstLine="720"/>
        <w:rPr>
          <w:rFonts w:ascii="Times" w:eastAsia="Times New Roman" w:hAnsi="Times" w:cs="Times New Roman"/>
          <w:sz w:val="22"/>
          <w:szCs w:val="22"/>
          <w:u w:val="single"/>
        </w:rPr>
      </w:pPr>
      <w:r w:rsidRPr="003733D3">
        <w:rPr>
          <w:rFonts w:ascii="Times" w:eastAsia="Times New Roman" w:hAnsi="Times" w:cs="Times New Roman"/>
          <w:sz w:val="22"/>
          <w:szCs w:val="22"/>
          <w:u w:val="single"/>
        </w:rPr>
        <w:t>(iii) Provide the comparative analyses, including the results of the analyses, performed to determine that the processes and strategies used to design each NQTL, as written, and the as written processes and strategies used to apply the NQTL to mental health and alcohol or substance abuse disorder benefits are comparable to, and are applied no more stringently than, the processes and strategies used to design each NQTL, as written, and the as written processes and strategies used to apply the NQTL to medical and surgical benefits;</w:t>
      </w:r>
    </w:p>
    <w:p w14:paraId="5B843D3E" w14:textId="7B2E681C" w:rsidR="00354CF3" w:rsidRPr="003733D3" w:rsidRDefault="00F231A3" w:rsidP="007413E7">
      <w:pPr>
        <w:spacing w:line="276" w:lineRule="auto"/>
        <w:ind w:firstLine="720"/>
        <w:rPr>
          <w:rFonts w:ascii="Times" w:eastAsia="Times New Roman" w:hAnsi="Times" w:cs="Times New Roman"/>
          <w:sz w:val="22"/>
          <w:szCs w:val="22"/>
          <w:u w:val="single"/>
        </w:rPr>
      </w:pPr>
      <w:r w:rsidRPr="003733D3">
        <w:rPr>
          <w:rFonts w:ascii="Times" w:eastAsia="Times New Roman" w:hAnsi="Times" w:cs="Times New Roman"/>
          <w:sz w:val="22"/>
          <w:szCs w:val="22"/>
          <w:u w:val="single"/>
        </w:rPr>
        <w:t>(iv) Provide the comparative analyses, including the results of the analyses, performed to determine that the processes and strategies used to apply each NQTL, in operation, for mental health and alcohol or substance abuse benefits are comparable to, and applied no more stringently than, the processes or strategies used to apply each NQTL, in operation, for medical and surgical benefits</w:t>
      </w:r>
      <w:r w:rsidR="008022CB" w:rsidRPr="003733D3">
        <w:rPr>
          <w:rFonts w:ascii="Times" w:eastAsia="Times New Roman" w:hAnsi="Times" w:cs="Times New Roman"/>
          <w:sz w:val="22"/>
          <w:szCs w:val="22"/>
          <w:u w:val="single"/>
        </w:rPr>
        <w:t>; and</w:t>
      </w:r>
    </w:p>
    <w:p w14:paraId="79569A94" w14:textId="4CFB561A" w:rsidR="00F231A3" w:rsidRPr="003733D3" w:rsidRDefault="00F231A3" w:rsidP="007413E7">
      <w:pPr>
        <w:spacing w:line="276" w:lineRule="auto"/>
        <w:ind w:firstLine="720"/>
        <w:rPr>
          <w:rFonts w:ascii="Times" w:eastAsia="Times New Roman" w:hAnsi="Times" w:cs="Times New Roman"/>
          <w:sz w:val="22"/>
          <w:szCs w:val="22"/>
          <w:u w:val="single"/>
        </w:rPr>
      </w:pPr>
      <w:r w:rsidRPr="003733D3">
        <w:rPr>
          <w:rFonts w:ascii="Times" w:eastAsia="Times New Roman" w:hAnsi="Times" w:cs="Times New Roman"/>
          <w:sz w:val="22"/>
          <w:szCs w:val="22"/>
          <w:u w:val="single"/>
        </w:rPr>
        <w:t>(v) Disclose the specific findings and conclusions reached by the insurer that the results of the analyses above indicate that the insurer is in compliance with this section and the Mental Health Parity and Addiction Equity Act of 2008 and its implementing and related regulations, which includes 45 CFR 146.136, 45 CFR 147.160, and 45 CFR 156.115(a)(3).</w:t>
      </w:r>
    </w:p>
    <w:p w14:paraId="06C4DED9" w14:textId="113C1A94" w:rsidR="00F231A3" w:rsidRPr="003733D3" w:rsidRDefault="00384824" w:rsidP="007413E7">
      <w:pPr>
        <w:spacing w:line="276" w:lineRule="auto"/>
        <w:ind w:firstLine="720"/>
        <w:rPr>
          <w:rFonts w:ascii="Times" w:eastAsia="Times New Roman" w:hAnsi="Times" w:cs="Times New Roman"/>
          <w:sz w:val="22"/>
          <w:szCs w:val="22"/>
          <w:u w:val="single"/>
        </w:rPr>
      </w:pPr>
      <w:r>
        <w:rPr>
          <w:rFonts w:ascii="Times" w:eastAsia="Times New Roman" w:hAnsi="Times" w:cs="Times New Roman"/>
          <w:sz w:val="22"/>
          <w:szCs w:val="22"/>
          <w:u w:val="single"/>
        </w:rPr>
        <w:t>Sec</w:t>
      </w:r>
      <w:r w:rsidR="00E067FD">
        <w:rPr>
          <w:rFonts w:ascii="Times" w:eastAsia="Times New Roman" w:hAnsi="Times" w:cs="Times New Roman"/>
          <w:sz w:val="22"/>
          <w:szCs w:val="22"/>
          <w:u w:val="single"/>
        </w:rPr>
        <w:t>.</w:t>
      </w:r>
      <w:r w:rsidR="00354CF3" w:rsidRPr="003733D3">
        <w:rPr>
          <w:rFonts w:ascii="Times" w:eastAsia="Times New Roman" w:hAnsi="Times" w:cs="Times New Roman"/>
          <w:sz w:val="22"/>
          <w:szCs w:val="22"/>
          <w:u w:val="single"/>
        </w:rPr>
        <w:t xml:space="preserve"> 3. </w:t>
      </w:r>
      <w:r>
        <w:rPr>
          <w:rFonts w:ascii="Times" w:eastAsia="Times New Roman" w:hAnsi="Times" w:cs="Times New Roman"/>
          <w:sz w:val="22"/>
          <w:szCs w:val="22"/>
          <w:u w:val="single"/>
        </w:rPr>
        <w:t xml:space="preserve"> </w:t>
      </w:r>
      <w:r w:rsidR="00694714" w:rsidRPr="003733D3">
        <w:rPr>
          <w:rFonts w:ascii="Times" w:eastAsia="Times New Roman" w:hAnsi="Times" w:cs="Times New Roman"/>
          <w:sz w:val="22"/>
          <w:szCs w:val="22"/>
          <w:u w:val="single"/>
        </w:rPr>
        <w:t xml:space="preserve">(1) </w:t>
      </w:r>
      <w:r w:rsidR="00882460" w:rsidRPr="003733D3">
        <w:rPr>
          <w:rFonts w:ascii="Times" w:eastAsia="Times New Roman" w:hAnsi="Times" w:cs="Times New Roman"/>
          <w:sz w:val="22"/>
          <w:szCs w:val="22"/>
          <w:u w:val="single"/>
        </w:rPr>
        <w:t xml:space="preserve">The </w:t>
      </w:r>
      <w:r w:rsidR="00E94E62" w:rsidRPr="003733D3">
        <w:rPr>
          <w:rFonts w:ascii="Times" w:eastAsia="Times New Roman" w:hAnsi="Times" w:cs="Times New Roman"/>
          <w:sz w:val="22"/>
          <w:szCs w:val="22"/>
          <w:u w:val="single"/>
        </w:rPr>
        <w:t>Director</w:t>
      </w:r>
      <w:r w:rsidR="00882460" w:rsidRPr="003733D3">
        <w:rPr>
          <w:rFonts w:ascii="Times" w:eastAsia="Times New Roman" w:hAnsi="Times" w:cs="Times New Roman"/>
          <w:sz w:val="22"/>
          <w:szCs w:val="22"/>
          <w:u w:val="single"/>
        </w:rPr>
        <w:t xml:space="preserve"> shall implement and enforce applicable provisions of the Paul Wellstone and Pete Domenici Mental Health Parity and Addiction Equity Act of 2008, and any amendments to, and any federal guidance or regulations relevant to, that act, including 45 CFR 146.136, 45 CFR 147.136, 45 CFR 147.160, and 45 CFR 156.115(a)(3), which includes:</w:t>
      </w:r>
    </w:p>
    <w:p w14:paraId="06943969" w14:textId="734218F8" w:rsidR="00694714" w:rsidRPr="003733D3" w:rsidRDefault="00694714" w:rsidP="007413E7">
      <w:pPr>
        <w:spacing w:line="276" w:lineRule="auto"/>
        <w:ind w:firstLine="720"/>
        <w:rPr>
          <w:rFonts w:ascii="Times" w:eastAsia="Times New Roman" w:hAnsi="Times" w:cs="Times New Roman"/>
          <w:sz w:val="22"/>
          <w:szCs w:val="22"/>
          <w:u w:val="single"/>
        </w:rPr>
      </w:pPr>
      <w:r w:rsidRPr="003733D3">
        <w:rPr>
          <w:rFonts w:ascii="Times" w:eastAsia="Times New Roman" w:hAnsi="Times" w:cs="Times New Roman"/>
          <w:sz w:val="22"/>
          <w:szCs w:val="22"/>
          <w:u w:val="single"/>
        </w:rPr>
        <w:t>(a) Proactively ensuring compliance by insurers</w:t>
      </w:r>
      <w:r w:rsidR="00652BE0" w:rsidRPr="003733D3">
        <w:rPr>
          <w:rFonts w:ascii="Times" w:eastAsia="Times New Roman" w:hAnsi="Times" w:cs="Times New Roman"/>
          <w:sz w:val="22"/>
          <w:szCs w:val="22"/>
          <w:u w:val="single"/>
        </w:rPr>
        <w:t xml:space="preserve"> that deliver, issue, or renew any heal</w:t>
      </w:r>
      <w:r w:rsidR="00843DE4" w:rsidRPr="003733D3">
        <w:rPr>
          <w:rFonts w:ascii="Times" w:eastAsia="Times New Roman" w:hAnsi="Times" w:cs="Times New Roman"/>
          <w:sz w:val="22"/>
          <w:szCs w:val="22"/>
          <w:u w:val="single"/>
        </w:rPr>
        <w:t>th insurance plan</w:t>
      </w:r>
      <w:r w:rsidR="00652BE0" w:rsidRPr="003733D3">
        <w:rPr>
          <w:rFonts w:ascii="Times" w:eastAsia="Times New Roman" w:hAnsi="Times" w:cs="Times New Roman"/>
          <w:sz w:val="22"/>
          <w:szCs w:val="22"/>
          <w:u w:val="single"/>
        </w:rPr>
        <w:t xml:space="preserve"> that provides coverage of mental health and alco</w:t>
      </w:r>
      <w:r w:rsidR="00B10633">
        <w:rPr>
          <w:rFonts w:ascii="Times" w:eastAsia="Times New Roman" w:hAnsi="Times" w:cs="Times New Roman"/>
          <w:sz w:val="22"/>
          <w:szCs w:val="22"/>
          <w:u w:val="single"/>
        </w:rPr>
        <w:t>hol or substance abuse benefits;</w:t>
      </w:r>
    </w:p>
    <w:p w14:paraId="7F6B2E0F" w14:textId="7CA46343" w:rsidR="00694714" w:rsidRPr="003733D3" w:rsidRDefault="00694714" w:rsidP="007413E7">
      <w:pPr>
        <w:spacing w:line="276" w:lineRule="auto"/>
        <w:ind w:firstLine="720"/>
        <w:rPr>
          <w:rFonts w:ascii="Times" w:eastAsia="Times New Roman" w:hAnsi="Times" w:cs="Times New Roman"/>
          <w:sz w:val="22"/>
          <w:szCs w:val="22"/>
          <w:u w:val="single"/>
        </w:rPr>
      </w:pPr>
      <w:r w:rsidRPr="003733D3">
        <w:rPr>
          <w:rFonts w:ascii="Times" w:eastAsia="Times New Roman" w:hAnsi="Times" w:cs="Times New Roman"/>
          <w:sz w:val="22"/>
          <w:szCs w:val="22"/>
          <w:u w:val="single"/>
        </w:rPr>
        <w:t xml:space="preserve">(b) Evaluating all consumer or provider complaints regarding mental health and </w:t>
      </w:r>
      <w:r w:rsidR="00652BE0" w:rsidRPr="003733D3">
        <w:rPr>
          <w:rFonts w:ascii="Times" w:eastAsia="Times New Roman" w:hAnsi="Times" w:cs="Times New Roman"/>
          <w:sz w:val="22"/>
          <w:szCs w:val="22"/>
          <w:u w:val="single"/>
        </w:rPr>
        <w:t>alcohol or substance abuse</w:t>
      </w:r>
      <w:r w:rsidRPr="003733D3">
        <w:rPr>
          <w:rFonts w:ascii="Times" w:eastAsia="Times New Roman" w:hAnsi="Times" w:cs="Times New Roman"/>
          <w:sz w:val="22"/>
          <w:szCs w:val="22"/>
          <w:u w:val="single"/>
        </w:rPr>
        <w:t xml:space="preserve"> coverage</w:t>
      </w:r>
      <w:r w:rsidR="00B10633">
        <w:rPr>
          <w:rFonts w:ascii="Times" w:eastAsia="Times New Roman" w:hAnsi="Times" w:cs="Times New Roman"/>
          <w:sz w:val="22"/>
          <w:szCs w:val="22"/>
          <w:u w:val="single"/>
        </w:rPr>
        <w:t xml:space="preserve"> for possible parity violations;</w:t>
      </w:r>
    </w:p>
    <w:p w14:paraId="4DD2E923" w14:textId="1CA9A34B" w:rsidR="00694714" w:rsidRPr="003733D3" w:rsidRDefault="00694714" w:rsidP="007413E7">
      <w:pPr>
        <w:spacing w:line="276" w:lineRule="auto"/>
        <w:ind w:firstLine="720"/>
        <w:rPr>
          <w:rFonts w:ascii="Times" w:eastAsia="Times New Roman" w:hAnsi="Times" w:cs="Times New Roman"/>
          <w:sz w:val="22"/>
          <w:szCs w:val="22"/>
          <w:u w:val="single"/>
        </w:rPr>
      </w:pPr>
      <w:r w:rsidRPr="003733D3">
        <w:rPr>
          <w:rFonts w:ascii="Times" w:eastAsia="Times New Roman" w:hAnsi="Times" w:cs="Times New Roman"/>
          <w:sz w:val="22"/>
          <w:szCs w:val="22"/>
          <w:u w:val="single"/>
        </w:rPr>
        <w:t xml:space="preserve">(c) Performing parity compliance market conduct examinations of </w:t>
      </w:r>
      <w:r w:rsidR="00843DE4" w:rsidRPr="003733D3">
        <w:rPr>
          <w:rFonts w:ascii="Times" w:eastAsia="Times New Roman" w:hAnsi="Times" w:cs="Times New Roman"/>
          <w:sz w:val="22"/>
          <w:szCs w:val="22"/>
          <w:u w:val="single"/>
        </w:rPr>
        <w:t>by insurers that deliver, issue, or renew any health insurance plan that provides coverage of mental health and alcohol or substance abuse benefits</w:t>
      </w:r>
      <w:r w:rsidRPr="003733D3">
        <w:rPr>
          <w:rFonts w:ascii="Times" w:eastAsia="Times New Roman" w:hAnsi="Times" w:cs="Times New Roman"/>
          <w:sz w:val="22"/>
          <w:szCs w:val="22"/>
          <w:u w:val="single"/>
        </w:rPr>
        <w:t>, particularly market conduct examinations that focus on nonquantitative treatment limitations such as prior authorization, concurrent review, retrospective review, step-therapy, network admission standards, reimbursement rates, and geographic restrictions, among other nonqua</w:t>
      </w:r>
      <w:r w:rsidR="00B10633">
        <w:rPr>
          <w:rFonts w:ascii="Times" w:eastAsia="Times New Roman" w:hAnsi="Times" w:cs="Times New Roman"/>
          <w:sz w:val="22"/>
          <w:szCs w:val="22"/>
          <w:u w:val="single"/>
        </w:rPr>
        <w:t>ntitative treatment limitations;</w:t>
      </w:r>
    </w:p>
    <w:p w14:paraId="2F46CEF0" w14:textId="5D87D3EF" w:rsidR="00694714" w:rsidRPr="003733D3" w:rsidRDefault="00694714" w:rsidP="007413E7">
      <w:pPr>
        <w:spacing w:line="276" w:lineRule="auto"/>
        <w:ind w:firstLine="720"/>
        <w:rPr>
          <w:rFonts w:ascii="Times" w:eastAsia="Times New Roman" w:hAnsi="Times" w:cs="Times New Roman"/>
          <w:sz w:val="22"/>
          <w:szCs w:val="22"/>
          <w:u w:val="single"/>
        </w:rPr>
      </w:pPr>
      <w:r w:rsidRPr="003733D3">
        <w:rPr>
          <w:rFonts w:ascii="Times" w:eastAsia="Times New Roman" w:hAnsi="Times" w:cs="Times New Roman"/>
          <w:sz w:val="22"/>
          <w:szCs w:val="22"/>
          <w:u w:val="single"/>
        </w:rPr>
        <w:t xml:space="preserve">(d) Requesting that insurers submit comparative analyses during the form review process demonstrating how they design and apply nonquantitative treatment limitations, both as written and in operation, for mental health and </w:t>
      </w:r>
      <w:r w:rsidR="00205CA1" w:rsidRPr="003733D3">
        <w:rPr>
          <w:rFonts w:ascii="Times" w:eastAsia="Times New Roman" w:hAnsi="Times" w:cs="Times New Roman"/>
          <w:sz w:val="22"/>
          <w:szCs w:val="22"/>
          <w:u w:val="single"/>
        </w:rPr>
        <w:t>alcohol or substance abuse</w:t>
      </w:r>
      <w:r w:rsidRPr="003733D3">
        <w:rPr>
          <w:rFonts w:ascii="Times" w:eastAsia="Times New Roman" w:hAnsi="Times" w:cs="Times New Roman"/>
          <w:sz w:val="22"/>
          <w:szCs w:val="22"/>
          <w:u w:val="single"/>
        </w:rPr>
        <w:t xml:space="preserve"> benefits as compared to how they design and apply nonquantitative treatment limitations, as written and in operation, fo</w:t>
      </w:r>
      <w:r w:rsidR="00447F8B">
        <w:rPr>
          <w:rFonts w:ascii="Times" w:eastAsia="Times New Roman" w:hAnsi="Times" w:cs="Times New Roman"/>
          <w:sz w:val="22"/>
          <w:szCs w:val="22"/>
          <w:u w:val="single"/>
        </w:rPr>
        <w:t>r medical and surgical benefits; and</w:t>
      </w:r>
    </w:p>
    <w:p w14:paraId="4A7DA441" w14:textId="5BBE7728" w:rsidR="00694714" w:rsidRPr="003733D3" w:rsidRDefault="00694714" w:rsidP="007413E7">
      <w:pPr>
        <w:spacing w:line="276" w:lineRule="auto"/>
        <w:ind w:firstLine="720"/>
        <w:rPr>
          <w:rFonts w:ascii="Times" w:eastAsia="Times New Roman" w:hAnsi="Times" w:cs="Times New Roman"/>
          <w:sz w:val="22"/>
          <w:szCs w:val="22"/>
          <w:u w:val="single"/>
        </w:rPr>
      </w:pPr>
      <w:r w:rsidRPr="003733D3">
        <w:rPr>
          <w:rFonts w:ascii="Times" w:eastAsia="Times New Roman" w:hAnsi="Times" w:cs="Times New Roman"/>
          <w:sz w:val="22"/>
          <w:szCs w:val="22"/>
          <w:u w:val="single"/>
        </w:rPr>
        <w:t xml:space="preserve">(e) The Director </w:t>
      </w:r>
      <w:r w:rsidR="00205CA1" w:rsidRPr="003733D3">
        <w:rPr>
          <w:rFonts w:ascii="Times" w:eastAsia="Times New Roman" w:hAnsi="Times" w:cs="Times New Roman"/>
          <w:sz w:val="22"/>
          <w:szCs w:val="22"/>
          <w:u w:val="single"/>
        </w:rPr>
        <w:t>may</w:t>
      </w:r>
      <w:r w:rsidRPr="003733D3">
        <w:rPr>
          <w:rFonts w:ascii="Times" w:eastAsia="Times New Roman" w:hAnsi="Times" w:cs="Times New Roman"/>
          <w:sz w:val="22"/>
          <w:szCs w:val="22"/>
          <w:u w:val="single"/>
        </w:rPr>
        <w:t xml:space="preserve"> adopt rules, under </w:t>
      </w:r>
      <w:r w:rsidR="003740CA">
        <w:rPr>
          <w:rFonts w:ascii="Times" w:eastAsia="Times New Roman" w:hAnsi="Times" w:cs="Times New Roman"/>
          <w:sz w:val="22"/>
          <w:szCs w:val="22"/>
          <w:u w:val="single"/>
        </w:rPr>
        <w:t>s</w:t>
      </w:r>
      <w:r w:rsidR="00CD0782">
        <w:rPr>
          <w:rFonts w:ascii="Times" w:eastAsia="Times New Roman" w:hAnsi="Times" w:cs="Times New Roman"/>
          <w:sz w:val="22"/>
          <w:szCs w:val="22"/>
          <w:u w:val="single"/>
        </w:rPr>
        <w:t xml:space="preserve">ection </w:t>
      </w:r>
      <w:r w:rsidR="00205CA1" w:rsidRPr="003733D3">
        <w:rPr>
          <w:rFonts w:ascii="Times" w:eastAsia="Times New Roman" w:hAnsi="Times" w:cs="Times New Roman"/>
          <w:sz w:val="22"/>
          <w:szCs w:val="22"/>
          <w:u w:val="single"/>
        </w:rPr>
        <w:t>44-101.01</w:t>
      </w:r>
      <w:r w:rsidRPr="003733D3">
        <w:rPr>
          <w:rFonts w:ascii="Times" w:eastAsia="Times New Roman" w:hAnsi="Times" w:cs="Times New Roman"/>
          <w:sz w:val="22"/>
          <w:szCs w:val="22"/>
          <w:u w:val="single"/>
        </w:rPr>
        <w:t>, as may be necessary to effectuate any provisions of the Paul Wellstone and Pete Domenici Mental Health Parity and Addiction Equity Act of 2008 that relate to the business of insurance.</w:t>
      </w:r>
    </w:p>
    <w:p w14:paraId="209EB4A5" w14:textId="66B89D86" w:rsidR="009B1B0E" w:rsidRPr="003733D3" w:rsidRDefault="00DC769C" w:rsidP="007413E7">
      <w:pPr>
        <w:spacing w:line="276" w:lineRule="auto"/>
        <w:ind w:firstLine="720"/>
        <w:rPr>
          <w:rFonts w:ascii="Times" w:eastAsia="Times New Roman" w:hAnsi="Times" w:cs="Times New Roman"/>
          <w:sz w:val="22"/>
          <w:szCs w:val="22"/>
          <w:u w:val="single"/>
        </w:rPr>
      </w:pPr>
      <w:r>
        <w:rPr>
          <w:rFonts w:ascii="Times" w:eastAsia="Times New Roman" w:hAnsi="Times" w:cs="Times New Roman"/>
          <w:sz w:val="22"/>
          <w:szCs w:val="22"/>
          <w:u w:val="single"/>
        </w:rPr>
        <w:t>Sec</w:t>
      </w:r>
      <w:r w:rsidR="00B74540">
        <w:rPr>
          <w:rFonts w:ascii="Times" w:eastAsia="Times New Roman" w:hAnsi="Times" w:cs="Times New Roman"/>
          <w:sz w:val="22"/>
          <w:szCs w:val="22"/>
          <w:u w:val="single"/>
        </w:rPr>
        <w:t>.</w:t>
      </w:r>
      <w:r w:rsidR="009B1B0E" w:rsidRPr="003733D3">
        <w:rPr>
          <w:rFonts w:ascii="Times" w:eastAsia="Times New Roman" w:hAnsi="Times" w:cs="Times New Roman"/>
          <w:sz w:val="22"/>
          <w:szCs w:val="22"/>
          <w:u w:val="single"/>
        </w:rPr>
        <w:t xml:space="preserve"> 4. (1) </w:t>
      </w:r>
      <w:r>
        <w:rPr>
          <w:rFonts w:ascii="Times" w:eastAsia="Times New Roman" w:hAnsi="Times" w:cs="Times New Roman"/>
          <w:sz w:val="22"/>
          <w:szCs w:val="22"/>
          <w:u w:val="single"/>
        </w:rPr>
        <w:t xml:space="preserve"> </w:t>
      </w:r>
      <w:r w:rsidR="00701839" w:rsidRPr="003733D3">
        <w:rPr>
          <w:rFonts w:ascii="Times" w:eastAsia="Times New Roman" w:hAnsi="Times" w:cs="Times New Roman"/>
          <w:sz w:val="22"/>
          <w:szCs w:val="22"/>
          <w:u w:val="single"/>
        </w:rPr>
        <w:t>Not later than March 1, 2020, the Director shall issue a report and educational presentation to the Legislature; such report and presentation shall:</w:t>
      </w:r>
    </w:p>
    <w:p w14:paraId="66FBCA3F" w14:textId="56208D07" w:rsidR="00701839" w:rsidRPr="003733D3" w:rsidRDefault="00701839" w:rsidP="007413E7">
      <w:pPr>
        <w:spacing w:line="276" w:lineRule="auto"/>
        <w:ind w:firstLine="720"/>
        <w:rPr>
          <w:rFonts w:ascii="Times" w:eastAsia="Times New Roman" w:hAnsi="Times" w:cs="Times New Roman"/>
          <w:sz w:val="22"/>
          <w:szCs w:val="22"/>
          <w:u w:val="single"/>
        </w:rPr>
      </w:pPr>
      <w:r w:rsidRPr="003733D3">
        <w:rPr>
          <w:rFonts w:ascii="Times" w:eastAsia="Times New Roman" w:hAnsi="Times" w:cs="Times New Roman"/>
          <w:sz w:val="22"/>
          <w:szCs w:val="22"/>
          <w:u w:val="single"/>
        </w:rPr>
        <w:t>(a) Cover the methodology the Director is using to check for compliance with the federal Paul Wellstone and Pete Domenici Mental Health Parity and Addiction Equity Act of 2008 (MHPAEA), and any federal regulations or guidance relating to the com</w:t>
      </w:r>
      <w:r w:rsidR="00337D05">
        <w:rPr>
          <w:rFonts w:ascii="Times" w:eastAsia="Times New Roman" w:hAnsi="Times" w:cs="Times New Roman"/>
          <w:sz w:val="22"/>
          <w:szCs w:val="22"/>
          <w:u w:val="single"/>
        </w:rPr>
        <w:t>pliance and oversight of MHPAEA;</w:t>
      </w:r>
    </w:p>
    <w:p w14:paraId="648AB62A" w14:textId="167C3DA4" w:rsidR="00701839" w:rsidRPr="003733D3" w:rsidRDefault="00701839" w:rsidP="007413E7">
      <w:pPr>
        <w:spacing w:line="276" w:lineRule="auto"/>
        <w:ind w:firstLine="720"/>
        <w:rPr>
          <w:rFonts w:ascii="Times" w:eastAsia="Times New Roman" w:hAnsi="Times" w:cs="Times New Roman"/>
          <w:sz w:val="22"/>
          <w:szCs w:val="22"/>
          <w:u w:val="single"/>
        </w:rPr>
      </w:pPr>
      <w:r w:rsidRPr="003733D3">
        <w:rPr>
          <w:rFonts w:ascii="Times" w:eastAsia="Times New Roman" w:hAnsi="Times" w:cs="Times New Roman"/>
          <w:sz w:val="22"/>
          <w:szCs w:val="22"/>
          <w:u w:val="single"/>
        </w:rPr>
        <w:t xml:space="preserve">(b) Cover the methodology the </w:t>
      </w:r>
      <w:r w:rsidR="003A6947">
        <w:rPr>
          <w:rFonts w:ascii="Times" w:eastAsia="Times New Roman" w:hAnsi="Times" w:cs="Times New Roman"/>
          <w:sz w:val="22"/>
          <w:szCs w:val="22"/>
          <w:u w:val="single"/>
        </w:rPr>
        <w:t>Director</w:t>
      </w:r>
      <w:r w:rsidRPr="003733D3">
        <w:rPr>
          <w:rFonts w:ascii="Times" w:eastAsia="Times New Roman" w:hAnsi="Times" w:cs="Times New Roman"/>
          <w:sz w:val="22"/>
          <w:szCs w:val="22"/>
          <w:u w:val="single"/>
        </w:rPr>
        <w:t xml:space="preserve"> is usin</w:t>
      </w:r>
      <w:r w:rsidR="00337D05">
        <w:rPr>
          <w:rFonts w:ascii="Times" w:eastAsia="Times New Roman" w:hAnsi="Times" w:cs="Times New Roman"/>
          <w:sz w:val="22"/>
          <w:szCs w:val="22"/>
          <w:u w:val="single"/>
        </w:rPr>
        <w:t xml:space="preserve">g to check for compliance with sections </w:t>
      </w:r>
      <w:r w:rsidR="00337D05" w:rsidRPr="00337D05">
        <w:rPr>
          <w:rFonts w:ascii="Times" w:eastAsia="Times New Roman" w:hAnsi="Times" w:cs="Times New Roman"/>
          <w:sz w:val="22"/>
          <w:szCs w:val="22"/>
          <w:u w:val="single"/>
        </w:rPr>
        <w:t>44-791, 44-792, 44-793, 44-794, 44-795</w:t>
      </w:r>
      <w:r w:rsidR="00D50CEE">
        <w:rPr>
          <w:rFonts w:ascii="Times" w:eastAsia="Times New Roman" w:hAnsi="Times" w:cs="Times New Roman"/>
          <w:sz w:val="22"/>
          <w:szCs w:val="22"/>
          <w:u w:val="single"/>
        </w:rPr>
        <w:t xml:space="preserve"> and sections </w:t>
      </w:r>
      <w:r w:rsidR="00D50CEE" w:rsidRPr="00D50CEE">
        <w:rPr>
          <w:rFonts w:ascii="Times" w:eastAsia="Times New Roman" w:hAnsi="Times" w:cs="Times New Roman"/>
          <w:sz w:val="22"/>
          <w:szCs w:val="22"/>
          <w:u w:val="single"/>
        </w:rPr>
        <w:t>44-778, 44-779, 44-780, 44-781</w:t>
      </w:r>
      <w:r w:rsidR="00D50CEE">
        <w:rPr>
          <w:rFonts w:ascii="Times" w:eastAsia="Times New Roman" w:hAnsi="Times" w:cs="Times New Roman"/>
          <w:sz w:val="22"/>
          <w:szCs w:val="22"/>
          <w:u w:val="single"/>
        </w:rPr>
        <w:t>;</w:t>
      </w:r>
    </w:p>
    <w:p w14:paraId="387B5CF3" w14:textId="46D16F01" w:rsidR="00701839" w:rsidRPr="003733D3" w:rsidRDefault="00701839" w:rsidP="007413E7">
      <w:pPr>
        <w:spacing w:line="276" w:lineRule="auto"/>
        <w:ind w:firstLine="720"/>
        <w:rPr>
          <w:rFonts w:ascii="Times" w:eastAsia="Times New Roman" w:hAnsi="Times" w:cs="Times New Roman"/>
          <w:sz w:val="22"/>
          <w:szCs w:val="22"/>
          <w:u w:val="single"/>
        </w:rPr>
      </w:pPr>
      <w:r w:rsidRPr="003733D3">
        <w:rPr>
          <w:rFonts w:ascii="Times" w:eastAsia="Times New Roman" w:hAnsi="Times" w:cs="Times New Roman"/>
          <w:sz w:val="22"/>
          <w:szCs w:val="22"/>
          <w:u w:val="single"/>
        </w:rPr>
        <w:t xml:space="preserve">(c) Identify market conduct examinations conducted or completed during the preceding 12-month period regarding compliance with parity in mental health and </w:t>
      </w:r>
      <w:r w:rsidR="00D50CEE">
        <w:rPr>
          <w:rFonts w:ascii="Times" w:eastAsia="Times New Roman" w:hAnsi="Times" w:cs="Times New Roman"/>
          <w:sz w:val="22"/>
          <w:szCs w:val="22"/>
          <w:u w:val="single"/>
        </w:rPr>
        <w:t>alcohol or substance abuse</w:t>
      </w:r>
      <w:r w:rsidRPr="003733D3">
        <w:rPr>
          <w:rFonts w:ascii="Times" w:eastAsia="Times New Roman" w:hAnsi="Times" w:cs="Times New Roman"/>
          <w:sz w:val="22"/>
          <w:szCs w:val="22"/>
          <w:u w:val="single"/>
        </w:rPr>
        <w:t xml:space="preserve"> benefits under state and federal laws and summarize the results of su</w:t>
      </w:r>
      <w:r w:rsidR="00C736B7">
        <w:rPr>
          <w:rFonts w:ascii="Times" w:eastAsia="Times New Roman" w:hAnsi="Times" w:cs="Times New Roman"/>
          <w:sz w:val="22"/>
          <w:szCs w:val="22"/>
          <w:u w:val="single"/>
        </w:rPr>
        <w:t>ch market conduct examinations;</w:t>
      </w:r>
    </w:p>
    <w:p w14:paraId="6FA99B22" w14:textId="68673598" w:rsidR="00701839" w:rsidRPr="003733D3" w:rsidRDefault="00701839" w:rsidP="007413E7">
      <w:pPr>
        <w:spacing w:line="276" w:lineRule="auto"/>
        <w:ind w:firstLine="720"/>
        <w:rPr>
          <w:rFonts w:ascii="Times" w:eastAsia="Times New Roman" w:hAnsi="Times" w:cs="Times New Roman"/>
          <w:sz w:val="22"/>
          <w:szCs w:val="22"/>
          <w:u w:val="single"/>
        </w:rPr>
      </w:pPr>
      <w:r w:rsidRPr="003733D3">
        <w:rPr>
          <w:rFonts w:ascii="Times" w:eastAsia="Times New Roman" w:hAnsi="Times" w:cs="Times New Roman"/>
          <w:sz w:val="22"/>
          <w:szCs w:val="22"/>
          <w:u w:val="single"/>
        </w:rPr>
        <w:t xml:space="preserve">(d) Detail any educational or corrective actions the </w:t>
      </w:r>
      <w:r w:rsidR="00C736B7">
        <w:rPr>
          <w:rFonts w:ascii="Times" w:eastAsia="Times New Roman" w:hAnsi="Times" w:cs="Times New Roman"/>
          <w:sz w:val="22"/>
          <w:szCs w:val="22"/>
          <w:u w:val="single"/>
        </w:rPr>
        <w:t>director</w:t>
      </w:r>
      <w:r w:rsidRPr="003733D3">
        <w:rPr>
          <w:rFonts w:ascii="Times" w:eastAsia="Times New Roman" w:hAnsi="Times" w:cs="Times New Roman"/>
          <w:sz w:val="22"/>
          <w:szCs w:val="22"/>
          <w:u w:val="single"/>
        </w:rPr>
        <w:t xml:space="preserve"> has taken to ensure insurer com</w:t>
      </w:r>
      <w:r w:rsidR="00C736B7">
        <w:rPr>
          <w:rFonts w:ascii="Times" w:eastAsia="Times New Roman" w:hAnsi="Times" w:cs="Times New Roman"/>
          <w:sz w:val="22"/>
          <w:szCs w:val="22"/>
          <w:u w:val="single"/>
        </w:rPr>
        <w:t>pliance with MHPAEA and</w:t>
      </w:r>
      <w:r w:rsidRPr="003733D3">
        <w:rPr>
          <w:rFonts w:ascii="Times" w:eastAsia="Times New Roman" w:hAnsi="Times" w:cs="Times New Roman"/>
          <w:sz w:val="22"/>
          <w:szCs w:val="22"/>
          <w:u w:val="single"/>
        </w:rPr>
        <w:t xml:space="preserve"> </w:t>
      </w:r>
      <w:r w:rsidR="00C736B7">
        <w:rPr>
          <w:rFonts w:ascii="Times" w:eastAsia="Times New Roman" w:hAnsi="Times" w:cs="Times New Roman"/>
          <w:sz w:val="22"/>
          <w:szCs w:val="22"/>
          <w:u w:val="single"/>
        </w:rPr>
        <w:t xml:space="preserve">sections </w:t>
      </w:r>
      <w:r w:rsidR="00C736B7" w:rsidRPr="00337D05">
        <w:rPr>
          <w:rFonts w:ascii="Times" w:eastAsia="Times New Roman" w:hAnsi="Times" w:cs="Times New Roman"/>
          <w:sz w:val="22"/>
          <w:szCs w:val="22"/>
          <w:u w:val="single"/>
        </w:rPr>
        <w:t>44-791, 44-792, 44-793, 44-794, 44-795</w:t>
      </w:r>
      <w:r w:rsidR="00C736B7">
        <w:rPr>
          <w:rFonts w:ascii="Times" w:eastAsia="Times New Roman" w:hAnsi="Times" w:cs="Times New Roman"/>
          <w:sz w:val="22"/>
          <w:szCs w:val="22"/>
          <w:u w:val="single"/>
        </w:rPr>
        <w:t xml:space="preserve"> and sections </w:t>
      </w:r>
      <w:r w:rsidR="00C736B7" w:rsidRPr="00D50CEE">
        <w:rPr>
          <w:rFonts w:ascii="Times" w:eastAsia="Times New Roman" w:hAnsi="Times" w:cs="Times New Roman"/>
          <w:sz w:val="22"/>
          <w:szCs w:val="22"/>
          <w:u w:val="single"/>
        </w:rPr>
        <w:t>44-778, 44-779, 44-780, 44-781</w:t>
      </w:r>
      <w:r w:rsidR="00C736B7">
        <w:rPr>
          <w:rFonts w:ascii="Times" w:eastAsia="Times New Roman" w:hAnsi="Times" w:cs="Times New Roman"/>
          <w:sz w:val="22"/>
          <w:szCs w:val="22"/>
          <w:u w:val="single"/>
        </w:rPr>
        <w:t>; and</w:t>
      </w:r>
    </w:p>
    <w:p w14:paraId="58B164C8" w14:textId="794F1141" w:rsidR="00701839" w:rsidRDefault="00701839" w:rsidP="007413E7">
      <w:pPr>
        <w:spacing w:line="276" w:lineRule="auto"/>
        <w:ind w:firstLine="720"/>
        <w:rPr>
          <w:rFonts w:ascii="Times" w:eastAsia="Times New Roman" w:hAnsi="Times" w:cs="Times New Roman"/>
          <w:sz w:val="22"/>
          <w:szCs w:val="22"/>
          <w:u w:val="single"/>
        </w:rPr>
      </w:pPr>
      <w:r w:rsidRPr="003733D3">
        <w:rPr>
          <w:rFonts w:ascii="Times" w:eastAsia="Times New Roman" w:hAnsi="Times" w:cs="Times New Roman"/>
          <w:sz w:val="22"/>
          <w:szCs w:val="22"/>
          <w:u w:val="single"/>
        </w:rPr>
        <w:t xml:space="preserve">(e) The report must be written in non-technical, readily understandable language and shall be made available to the public by, among such other means as the </w:t>
      </w:r>
      <w:r w:rsidR="00C736B7">
        <w:rPr>
          <w:rFonts w:ascii="Times" w:eastAsia="Times New Roman" w:hAnsi="Times" w:cs="Times New Roman"/>
          <w:sz w:val="22"/>
          <w:szCs w:val="22"/>
          <w:u w:val="single"/>
        </w:rPr>
        <w:t>Director</w:t>
      </w:r>
      <w:r w:rsidRPr="003733D3">
        <w:rPr>
          <w:rFonts w:ascii="Times" w:eastAsia="Times New Roman" w:hAnsi="Times" w:cs="Times New Roman"/>
          <w:sz w:val="22"/>
          <w:szCs w:val="22"/>
          <w:u w:val="single"/>
        </w:rPr>
        <w:t xml:space="preserve"> finds appropriate, posting the report on the website</w:t>
      </w:r>
      <w:r w:rsidR="003A6947">
        <w:rPr>
          <w:rFonts w:ascii="Times" w:eastAsia="Times New Roman" w:hAnsi="Times" w:cs="Times New Roman"/>
          <w:sz w:val="22"/>
          <w:szCs w:val="22"/>
          <w:u w:val="single"/>
        </w:rPr>
        <w:t xml:space="preserve"> of the Department of Insurance</w:t>
      </w:r>
      <w:r w:rsidRPr="003733D3">
        <w:rPr>
          <w:rFonts w:ascii="Times" w:eastAsia="Times New Roman" w:hAnsi="Times" w:cs="Times New Roman"/>
          <w:sz w:val="22"/>
          <w:szCs w:val="22"/>
          <w:u w:val="single"/>
        </w:rPr>
        <w:t>.</w:t>
      </w:r>
    </w:p>
    <w:p w14:paraId="75F56D35" w14:textId="5380138B" w:rsidR="003F2C34" w:rsidRDefault="00384824" w:rsidP="007413E7">
      <w:pPr>
        <w:spacing w:line="276" w:lineRule="auto"/>
        <w:ind w:firstLine="720"/>
        <w:rPr>
          <w:rFonts w:ascii="Times" w:eastAsia="Times New Roman" w:hAnsi="Times" w:cs="Times New Roman"/>
          <w:sz w:val="22"/>
          <w:szCs w:val="22"/>
          <w:u w:val="single"/>
        </w:rPr>
      </w:pPr>
      <w:r>
        <w:rPr>
          <w:rFonts w:ascii="Times" w:eastAsia="Times New Roman" w:hAnsi="Times" w:cs="Times New Roman"/>
          <w:sz w:val="22"/>
          <w:szCs w:val="22"/>
        </w:rPr>
        <w:t>Sec</w:t>
      </w:r>
      <w:r w:rsidR="00B74540">
        <w:rPr>
          <w:rFonts w:ascii="Times" w:eastAsia="Times New Roman" w:hAnsi="Times" w:cs="Times New Roman"/>
          <w:sz w:val="22"/>
          <w:szCs w:val="22"/>
        </w:rPr>
        <w:t>.</w:t>
      </w:r>
      <w:bookmarkStart w:id="0" w:name="_GoBack"/>
      <w:bookmarkEnd w:id="0"/>
      <w:r w:rsidR="00DC769C">
        <w:rPr>
          <w:rFonts w:ascii="Times" w:eastAsia="Times New Roman" w:hAnsi="Times" w:cs="Times New Roman"/>
          <w:sz w:val="22"/>
          <w:szCs w:val="22"/>
        </w:rPr>
        <w:t xml:space="preserve"> 5</w:t>
      </w:r>
      <w:r w:rsidR="003F2C34">
        <w:rPr>
          <w:rFonts w:ascii="Times" w:eastAsia="Times New Roman" w:hAnsi="Times" w:cs="Times New Roman"/>
          <w:sz w:val="22"/>
          <w:szCs w:val="22"/>
        </w:rPr>
        <w:t xml:space="preserve">. </w:t>
      </w:r>
      <w:r w:rsidR="00BA031F">
        <w:rPr>
          <w:rFonts w:ascii="Times" w:eastAsia="Times New Roman" w:hAnsi="Times" w:cs="Times New Roman"/>
          <w:sz w:val="22"/>
          <w:szCs w:val="22"/>
        </w:rPr>
        <w:t xml:space="preserve"> </w:t>
      </w:r>
      <w:r w:rsidR="00BA031F" w:rsidRPr="003733D3">
        <w:rPr>
          <w:rFonts w:ascii="Times" w:eastAsia="Times New Roman" w:hAnsi="Times" w:cs="Times New Roman"/>
          <w:sz w:val="22"/>
          <w:szCs w:val="22"/>
          <w:u w:val="single"/>
        </w:rPr>
        <w:t>All insurers that deliver, issue, or renew any health insurance plan that provides coverage of</w:t>
      </w:r>
      <w:r w:rsidR="00BA031F">
        <w:rPr>
          <w:rFonts w:ascii="Times" w:eastAsia="Times New Roman" w:hAnsi="Times" w:cs="Times New Roman"/>
          <w:sz w:val="22"/>
          <w:szCs w:val="22"/>
          <w:u w:val="single"/>
        </w:rPr>
        <w:t xml:space="preserve"> prescription medications for the treatment of alcohol or substance abuse shall comply with the following requirements:</w:t>
      </w:r>
    </w:p>
    <w:p w14:paraId="003594B1" w14:textId="0126F0C4" w:rsidR="00BA031F" w:rsidRDefault="00BA031F" w:rsidP="007413E7">
      <w:pPr>
        <w:spacing w:line="276" w:lineRule="auto"/>
        <w:ind w:firstLine="720"/>
        <w:rPr>
          <w:rFonts w:ascii="Times" w:eastAsia="Times New Roman" w:hAnsi="Times" w:cs="Times New Roman"/>
          <w:sz w:val="22"/>
          <w:szCs w:val="22"/>
          <w:u w:val="single"/>
        </w:rPr>
      </w:pPr>
      <w:r>
        <w:rPr>
          <w:rFonts w:ascii="Times" w:eastAsia="Times New Roman" w:hAnsi="Times" w:cs="Times New Roman"/>
          <w:sz w:val="22"/>
          <w:szCs w:val="22"/>
          <w:u w:val="single"/>
        </w:rPr>
        <w:t xml:space="preserve">(a) </w:t>
      </w:r>
      <w:r w:rsidRPr="00BA031F">
        <w:rPr>
          <w:rFonts w:ascii="Times" w:eastAsia="Times New Roman" w:hAnsi="Times" w:cs="Times New Roman"/>
          <w:sz w:val="22"/>
          <w:szCs w:val="22"/>
          <w:u w:val="single"/>
        </w:rPr>
        <w:t xml:space="preserve">Each insurer shall not impose any prior authorization requirements on any prescription medication approved by the federal Food and Drug Administration (FDA) for the treatment of </w:t>
      </w:r>
      <w:r w:rsidR="003F4551">
        <w:rPr>
          <w:rFonts w:ascii="Times" w:eastAsia="Times New Roman" w:hAnsi="Times" w:cs="Times New Roman"/>
          <w:sz w:val="22"/>
          <w:szCs w:val="22"/>
          <w:u w:val="single"/>
        </w:rPr>
        <w:t>alcohol or substance abuse</w:t>
      </w:r>
      <w:r w:rsidR="00E651AB">
        <w:rPr>
          <w:rFonts w:ascii="Times" w:eastAsia="Times New Roman" w:hAnsi="Times" w:cs="Times New Roman"/>
          <w:sz w:val="22"/>
          <w:szCs w:val="22"/>
          <w:u w:val="single"/>
        </w:rPr>
        <w:t>;</w:t>
      </w:r>
    </w:p>
    <w:p w14:paraId="338E9CED" w14:textId="01E4B9B9" w:rsidR="00E651AB" w:rsidRDefault="00E651AB" w:rsidP="007413E7">
      <w:pPr>
        <w:spacing w:line="276" w:lineRule="auto"/>
        <w:ind w:firstLine="720"/>
        <w:rPr>
          <w:rFonts w:ascii="Times" w:eastAsia="Times New Roman" w:hAnsi="Times" w:cs="Times New Roman"/>
          <w:sz w:val="22"/>
          <w:szCs w:val="22"/>
          <w:u w:val="single"/>
        </w:rPr>
      </w:pPr>
      <w:r>
        <w:rPr>
          <w:rFonts w:ascii="Times" w:eastAsia="Times New Roman" w:hAnsi="Times" w:cs="Times New Roman"/>
          <w:sz w:val="22"/>
          <w:szCs w:val="22"/>
          <w:u w:val="single"/>
        </w:rPr>
        <w:t xml:space="preserve">(b) </w:t>
      </w:r>
      <w:r w:rsidRPr="00E651AB">
        <w:rPr>
          <w:rFonts w:ascii="Times" w:eastAsia="Times New Roman" w:hAnsi="Times" w:cs="Times New Roman"/>
          <w:sz w:val="22"/>
          <w:szCs w:val="22"/>
          <w:u w:val="single"/>
        </w:rPr>
        <w:t xml:space="preserve">Each insurer shall not impose any step therapy requirements before the insurer will authorize coverage for a prescription medication approved by the FDA for the treatment of </w:t>
      </w:r>
      <w:r>
        <w:rPr>
          <w:rFonts w:ascii="Times" w:eastAsia="Times New Roman" w:hAnsi="Times" w:cs="Times New Roman"/>
          <w:sz w:val="22"/>
          <w:szCs w:val="22"/>
          <w:u w:val="single"/>
        </w:rPr>
        <w:t>alcohol or substance abuse;</w:t>
      </w:r>
    </w:p>
    <w:p w14:paraId="5C0333BD" w14:textId="3EF43EF4" w:rsidR="00E651AB" w:rsidRDefault="00E651AB" w:rsidP="007413E7">
      <w:pPr>
        <w:spacing w:line="276" w:lineRule="auto"/>
        <w:ind w:firstLine="720"/>
        <w:rPr>
          <w:rFonts w:ascii="Times" w:eastAsia="Times New Roman" w:hAnsi="Times" w:cs="Times New Roman"/>
          <w:sz w:val="22"/>
          <w:szCs w:val="22"/>
          <w:u w:val="single"/>
        </w:rPr>
      </w:pPr>
      <w:r>
        <w:rPr>
          <w:rFonts w:ascii="Times" w:eastAsia="Times New Roman" w:hAnsi="Times" w:cs="Times New Roman"/>
          <w:sz w:val="22"/>
          <w:szCs w:val="22"/>
          <w:u w:val="single"/>
        </w:rPr>
        <w:t xml:space="preserve">(c) </w:t>
      </w:r>
      <w:r w:rsidRPr="00E651AB">
        <w:rPr>
          <w:rFonts w:ascii="Times" w:eastAsia="Times New Roman" w:hAnsi="Times" w:cs="Times New Roman"/>
          <w:sz w:val="22"/>
          <w:szCs w:val="22"/>
          <w:u w:val="single"/>
        </w:rPr>
        <w:t>Each insurer shall</w:t>
      </w:r>
      <w:r>
        <w:rPr>
          <w:rFonts w:ascii="Times" w:eastAsia="Times New Roman" w:hAnsi="Times" w:cs="Times New Roman"/>
          <w:sz w:val="22"/>
          <w:szCs w:val="22"/>
          <w:u w:val="single"/>
        </w:rPr>
        <w:t xml:space="preserve"> </w:t>
      </w:r>
      <w:r w:rsidRPr="00E651AB">
        <w:rPr>
          <w:rFonts w:ascii="Times" w:eastAsia="Times New Roman" w:hAnsi="Times" w:cs="Times New Roman"/>
          <w:sz w:val="22"/>
          <w:szCs w:val="22"/>
          <w:u w:val="single"/>
        </w:rPr>
        <w:t xml:space="preserve">place all prescription medications approved by the FDA for the treatment of </w:t>
      </w:r>
      <w:r>
        <w:rPr>
          <w:rFonts w:ascii="Times" w:eastAsia="Times New Roman" w:hAnsi="Times" w:cs="Times New Roman"/>
          <w:sz w:val="22"/>
          <w:szCs w:val="22"/>
          <w:u w:val="single"/>
        </w:rPr>
        <w:t>alcohol or substance abuse</w:t>
      </w:r>
      <w:r w:rsidRPr="00E651AB">
        <w:rPr>
          <w:rFonts w:ascii="Times" w:eastAsia="Times New Roman" w:hAnsi="Times" w:cs="Times New Roman"/>
          <w:sz w:val="22"/>
          <w:szCs w:val="22"/>
          <w:u w:val="single"/>
        </w:rPr>
        <w:t xml:space="preserve"> on the lowest tier of the drug formulary developed and maintained by the insurer</w:t>
      </w:r>
      <w:r>
        <w:rPr>
          <w:rFonts w:ascii="Times" w:eastAsia="Times New Roman" w:hAnsi="Times" w:cs="Times New Roman"/>
          <w:sz w:val="22"/>
          <w:szCs w:val="22"/>
          <w:u w:val="single"/>
        </w:rPr>
        <w:t>; and</w:t>
      </w:r>
    </w:p>
    <w:p w14:paraId="4EFC451D" w14:textId="529CBB81" w:rsidR="00E651AB" w:rsidRPr="003F2C34" w:rsidRDefault="00E651AB" w:rsidP="007413E7">
      <w:pPr>
        <w:spacing w:line="276" w:lineRule="auto"/>
        <w:ind w:firstLine="720"/>
        <w:rPr>
          <w:rFonts w:ascii="Times" w:eastAsia="Times New Roman" w:hAnsi="Times" w:cs="Times New Roman"/>
          <w:sz w:val="22"/>
          <w:szCs w:val="22"/>
        </w:rPr>
      </w:pPr>
      <w:r>
        <w:rPr>
          <w:rFonts w:ascii="Times" w:eastAsia="Times New Roman" w:hAnsi="Times" w:cs="Times New Roman"/>
          <w:sz w:val="22"/>
          <w:szCs w:val="22"/>
          <w:u w:val="single"/>
        </w:rPr>
        <w:t xml:space="preserve">(d) </w:t>
      </w:r>
      <w:r w:rsidRPr="00E651AB">
        <w:rPr>
          <w:rFonts w:ascii="Times" w:eastAsia="Times New Roman" w:hAnsi="Times" w:cs="Times New Roman"/>
          <w:sz w:val="22"/>
          <w:szCs w:val="22"/>
          <w:u w:val="single"/>
        </w:rPr>
        <w:t xml:space="preserve">Each insurer shall not exclude coverage for any prescription medication approved by the FDA for the treatment of </w:t>
      </w:r>
      <w:r>
        <w:rPr>
          <w:rFonts w:ascii="Times" w:eastAsia="Times New Roman" w:hAnsi="Times" w:cs="Times New Roman"/>
          <w:sz w:val="22"/>
          <w:szCs w:val="22"/>
          <w:u w:val="single"/>
        </w:rPr>
        <w:t>alcohol or substance abuse</w:t>
      </w:r>
      <w:r w:rsidRPr="00E651AB">
        <w:rPr>
          <w:rFonts w:ascii="Times" w:eastAsia="Times New Roman" w:hAnsi="Times" w:cs="Times New Roman"/>
          <w:sz w:val="22"/>
          <w:szCs w:val="22"/>
          <w:u w:val="single"/>
        </w:rPr>
        <w:t xml:space="preserve"> and any associated counseling or wraparound services on the grounds that such medications and services were court ordered.</w:t>
      </w:r>
    </w:p>
    <w:p w14:paraId="4182C0EC" w14:textId="50300031" w:rsidR="00701839" w:rsidRPr="00694714" w:rsidRDefault="00701839" w:rsidP="007413E7">
      <w:pPr>
        <w:spacing w:line="276" w:lineRule="auto"/>
        <w:ind w:firstLine="720"/>
        <w:rPr>
          <w:rFonts w:ascii="Times" w:eastAsia="Times New Roman" w:hAnsi="Times" w:cs="Times New Roman"/>
          <w:sz w:val="22"/>
          <w:szCs w:val="22"/>
        </w:rPr>
      </w:pPr>
    </w:p>
    <w:p w14:paraId="55859EDD" w14:textId="022C55D0" w:rsidR="00694714" w:rsidRPr="004B6688" w:rsidRDefault="00694714" w:rsidP="007413E7">
      <w:pPr>
        <w:spacing w:line="276" w:lineRule="auto"/>
        <w:ind w:firstLine="720"/>
        <w:rPr>
          <w:rFonts w:ascii="Times" w:eastAsia="Times New Roman" w:hAnsi="Times" w:cs="Times New Roman"/>
          <w:sz w:val="22"/>
          <w:szCs w:val="22"/>
        </w:rPr>
      </w:pPr>
    </w:p>
    <w:p w14:paraId="466D538E" w14:textId="77777777" w:rsidR="00EB605D" w:rsidRPr="004B6688" w:rsidRDefault="00EB605D" w:rsidP="007413E7">
      <w:pPr>
        <w:spacing w:line="276" w:lineRule="auto"/>
        <w:ind w:firstLine="720"/>
        <w:rPr>
          <w:rFonts w:ascii="Times" w:eastAsia="Times New Roman" w:hAnsi="Times" w:cs="Times New Roman"/>
          <w:sz w:val="22"/>
          <w:szCs w:val="22"/>
        </w:rPr>
      </w:pPr>
    </w:p>
    <w:p w14:paraId="5570D1B5" w14:textId="33D6336C" w:rsidR="00E31A8A" w:rsidRPr="004B6688" w:rsidRDefault="006B3754" w:rsidP="007413E7">
      <w:pPr>
        <w:spacing w:line="276" w:lineRule="auto"/>
        <w:rPr>
          <w:rFonts w:ascii="Times" w:eastAsia="Times New Roman" w:hAnsi="Times" w:cs="Times New Roman"/>
          <w:sz w:val="22"/>
          <w:szCs w:val="22"/>
        </w:rPr>
      </w:pPr>
      <w:r w:rsidRPr="004B6688">
        <w:rPr>
          <w:rFonts w:ascii="Times" w:eastAsia="Times New Roman" w:hAnsi="Times" w:cs="Times New Roman"/>
          <w:sz w:val="22"/>
          <w:szCs w:val="22"/>
        </w:rPr>
        <w:tab/>
      </w:r>
    </w:p>
    <w:p w14:paraId="36D66303" w14:textId="77777777" w:rsidR="00E31A8A" w:rsidRPr="004B6688" w:rsidRDefault="00E31A8A" w:rsidP="007413E7">
      <w:pPr>
        <w:spacing w:line="276" w:lineRule="auto"/>
        <w:rPr>
          <w:rFonts w:ascii="Times" w:eastAsia="Times New Roman" w:hAnsi="Times" w:cs="Times New Roman"/>
          <w:sz w:val="22"/>
          <w:szCs w:val="22"/>
        </w:rPr>
      </w:pPr>
    </w:p>
    <w:p w14:paraId="59A13AF0" w14:textId="77777777" w:rsidR="00E31A8A" w:rsidRPr="004B6688" w:rsidRDefault="00E31A8A" w:rsidP="007413E7">
      <w:pPr>
        <w:spacing w:line="276" w:lineRule="auto"/>
        <w:rPr>
          <w:rFonts w:ascii="Times" w:eastAsia="Times New Roman" w:hAnsi="Times" w:cs="Times New Roman"/>
          <w:sz w:val="22"/>
          <w:szCs w:val="22"/>
        </w:rPr>
      </w:pPr>
    </w:p>
    <w:p w14:paraId="2B62B83F" w14:textId="77777777" w:rsidR="003B1501" w:rsidRPr="004B6688" w:rsidRDefault="003B1501" w:rsidP="007413E7">
      <w:pPr>
        <w:spacing w:line="276" w:lineRule="auto"/>
        <w:jc w:val="center"/>
        <w:rPr>
          <w:rFonts w:ascii="Times" w:eastAsia="Times New Roman" w:hAnsi="Times" w:cs="Times New Roman"/>
          <w:sz w:val="22"/>
          <w:szCs w:val="22"/>
        </w:rPr>
      </w:pPr>
    </w:p>
    <w:p w14:paraId="0543085B" w14:textId="77777777" w:rsidR="003B1501" w:rsidRPr="004B6688" w:rsidRDefault="003B1501" w:rsidP="007413E7">
      <w:pPr>
        <w:spacing w:line="276" w:lineRule="auto"/>
        <w:rPr>
          <w:sz w:val="22"/>
          <w:szCs w:val="22"/>
        </w:rPr>
      </w:pPr>
    </w:p>
    <w:sectPr w:rsidR="003B1501" w:rsidRPr="004B6688" w:rsidSect="00202113">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8292EC" w14:textId="77777777" w:rsidR="003F44A1" w:rsidRDefault="003F44A1" w:rsidP="003F44A1">
      <w:r>
        <w:separator/>
      </w:r>
    </w:p>
  </w:endnote>
  <w:endnote w:type="continuationSeparator" w:id="0">
    <w:p w14:paraId="5F157DE2" w14:textId="77777777" w:rsidR="003F44A1" w:rsidRDefault="003F44A1" w:rsidP="003F4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DFED42" w14:textId="77777777" w:rsidR="003F44A1" w:rsidRDefault="003F44A1" w:rsidP="003F44A1">
      <w:r>
        <w:separator/>
      </w:r>
    </w:p>
  </w:footnote>
  <w:footnote w:type="continuationSeparator" w:id="0">
    <w:p w14:paraId="1838986A" w14:textId="77777777" w:rsidR="003F44A1" w:rsidRDefault="003F44A1" w:rsidP="003F44A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78590" w14:textId="0240AF03" w:rsidR="003F44A1" w:rsidRDefault="003F44A1">
    <w:pPr>
      <w:pStyle w:val="Header"/>
      <w:rPr>
        <w:rFonts w:ascii="Times" w:hAnsi="Times"/>
        <w:sz w:val="22"/>
        <w:szCs w:val="22"/>
      </w:rPr>
    </w:pPr>
    <w:r>
      <w:rPr>
        <w:rFonts w:ascii="Times" w:hAnsi="Times"/>
        <w:sz w:val="22"/>
        <w:szCs w:val="22"/>
      </w:rPr>
      <w:t>LB XXX</w:t>
    </w:r>
    <w:r>
      <w:rPr>
        <w:rFonts w:ascii="Times" w:hAnsi="Times"/>
        <w:sz w:val="22"/>
        <w:szCs w:val="22"/>
      </w:rPr>
      <w:tab/>
    </w:r>
    <w:r>
      <w:rPr>
        <w:rFonts w:ascii="Times" w:hAnsi="Times"/>
        <w:sz w:val="22"/>
        <w:szCs w:val="22"/>
      </w:rPr>
      <w:tab/>
    </w:r>
    <w:r>
      <w:rPr>
        <w:rFonts w:ascii="Times" w:hAnsi="Times"/>
        <w:sz w:val="22"/>
        <w:szCs w:val="22"/>
      </w:rPr>
      <w:tab/>
      <w:t>LB XXX</w:t>
    </w:r>
  </w:p>
  <w:p w14:paraId="68F48D36" w14:textId="08DA4955" w:rsidR="00ED3AE7" w:rsidRPr="003F44A1" w:rsidRDefault="00ED3AE7">
    <w:pPr>
      <w:pStyle w:val="Header"/>
      <w:rPr>
        <w:rFonts w:ascii="Times" w:hAnsi="Times"/>
        <w:sz w:val="22"/>
        <w:szCs w:val="22"/>
      </w:rPr>
    </w:pPr>
    <w:r>
      <w:rPr>
        <w:rFonts w:ascii="Times" w:hAnsi="Times"/>
        <w:sz w:val="22"/>
        <w:szCs w:val="22"/>
      </w:rPr>
      <w:t>2019</w:t>
    </w:r>
    <w:r>
      <w:rPr>
        <w:rFonts w:ascii="Times" w:hAnsi="Times"/>
        <w:sz w:val="22"/>
        <w:szCs w:val="22"/>
      </w:rPr>
      <w:tab/>
    </w:r>
    <w:r>
      <w:rPr>
        <w:rFonts w:ascii="Times" w:hAnsi="Times"/>
        <w:sz w:val="22"/>
        <w:szCs w:val="22"/>
      </w:rPr>
      <w:tab/>
    </w:r>
    <w:r>
      <w:rPr>
        <w:rFonts w:ascii="Times" w:hAnsi="Times"/>
        <w:sz w:val="22"/>
        <w:szCs w:val="22"/>
      </w:rPr>
      <w:tab/>
      <w:t>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501"/>
    <w:rsid w:val="000B4A8A"/>
    <w:rsid w:val="000B7A14"/>
    <w:rsid w:val="001C3344"/>
    <w:rsid w:val="00202113"/>
    <w:rsid w:val="00205CA1"/>
    <w:rsid w:val="00265862"/>
    <w:rsid w:val="00337D05"/>
    <w:rsid w:val="00354CF3"/>
    <w:rsid w:val="003733D3"/>
    <w:rsid w:val="003740CA"/>
    <w:rsid w:val="00384824"/>
    <w:rsid w:val="003A6947"/>
    <w:rsid w:val="003B1501"/>
    <w:rsid w:val="003F2C34"/>
    <w:rsid w:val="003F44A1"/>
    <w:rsid w:val="003F4551"/>
    <w:rsid w:val="00447F8B"/>
    <w:rsid w:val="004B6688"/>
    <w:rsid w:val="00557A49"/>
    <w:rsid w:val="005B4A61"/>
    <w:rsid w:val="00652BE0"/>
    <w:rsid w:val="00694714"/>
    <w:rsid w:val="006B3754"/>
    <w:rsid w:val="00701839"/>
    <w:rsid w:val="007413E7"/>
    <w:rsid w:val="007C6444"/>
    <w:rsid w:val="008022CB"/>
    <w:rsid w:val="00843DE4"/>
    <w:rsid w:val="00882460"/>
    <w:rsid w:val="0094506B"/>
    <w:rsid w:val="009B1B0E"/>
    <w:rsid w:val="00A228D8"/>
    <w:rsid w:val="00B10633"/>
    <w:rsid w:val="00B5213E"/>
    <w:rsid w:val="00B74540"/>
    <w:rsid w:val="00BA031F"/>
    <w:rsid w:val="00C736B7"/>
    <w:rsid w:val="00CD0782"/>
    <w:rsid w:val="00D2121E"/>
    <w:rsid w:val="00D50CEE"/>
    <w:rsid w:val="00DB4D80"/>
    <w:rsid w:val="00DC769C"/>
    <w:rsid w:val="00E067FD"/>
    <w:rsid w:val="00E31A8A"/>
    <w:rsid w:val="00E651AB"/>
    <w:rsid w:val="00E94E62"/>
    <w:rsid w:val="00EB605D"/>
    <w:rsid w:val="00ED3AE7"/>
    <w:rsid w:val="00F23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2289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4A1"/>
    <w:pPr>
      <w:tabs>
        <w:tab w:val="center" w:pos="4320"/>
        <w:tab w:val="right" w:pos="8640"/>
      </w:tabs>
    </w:pPr>
  </w:style>
  <w:style w:type="character" w:customStyle="1" w:styleId="HeaderChar">
    <w:name w:val="Header Char"/>
    <w:basedOn w:val="DefaultParagraphFont"/>
    <w:link w:val="Header"/>
    <w:uiPriority w:val="99"/>
    <w:rsid w:val="003F44A1"/>
  </w:style>
  <w:style w:type="paragraph" w:styleId="Footer">
    <w:name w:val="footer"/>
    <w:basedOn w:val="Normal"/>
    <w:link w:val="FooterChar"/>
    <w:uiPriority w:val="99"/>
    <w:unhideWhenUsed/>
    <w:rsid w:val="003F44A1"/>
    <w:pPr>
      <w:tabs>
        <w:tab w:val="center" w:pos="4320"/>
        <w:tab w:val="right" w:pos="8640"/>
      </w:tabs>
    </w:pPr>
  </w:style>
  <w:style w:type="character" w:customStyle="1" w:styleId="FooterChar">
    <w:name w:val="Footer Char"/>
    <w:basedOn w:val="DefaultParagraphFont"/>
    <w:link w:val="Footer"/>
    <w:uiPriority w:val="99"/>
    <w:rsid w:val="003F44A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4A1"/>
    <w:pPr>
      <w:tabs>
        <w:tab w:val="center" w:pos="4320"/>
        <w:tab w:val="right" w:pos="8640"/>
      </w:tabs>
    </w:pPr>
  </w:style>
  <w:style w:type="character" w:customStyle="1" w:styleId="HeaderChar">
    <w:name w:val="Header Char"/>
    <w:basedOn w:val="DefaultParagraphFont"/>
    <w:link w:val="Header"/>
    <w:uiPriority w:val="99"/>
    <w:rsid w:val="003F44A1"/>
  </w:style>
  <w:style w:type="paragraph" w:styleId="Footer">
    <w:name w:val="footer"/>
    <w:basedOn w:val="Normal"/>
    <w:link w:val="FooterChar"/>
    <w:uiPriority w:val="99"/>
    <w:unhideWhenUsed/>
    <w:rsid w:val="003F44A1"/>
    <w:pPr>
      <w:tabs>
        <w:tab w:val="center" w:pos="4320"/>
        <w:tab w:val="right" w:pos="8640"/>
      </w:tabs>
    </w:pPr>
  </w:style>
  <w:style w:type="character" w:customStyle="1" w:styleId="FooterChar">
    <w:name w:val="Footer Char"/>
    <w:basedOn w:val="DefaultParagraphFont"/>
    <w:link w:val="Footer"/>
    <w:uiPriority w:val="99"/>
    <w:rsid w:val="003F4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27964">
      <w:bodyDiv w:val="1"/>
      <w:marLeft w:val="0"/>
      <w:marRight w:val="0"/>
      <w:marTop w:val="0"/>
      <w:marBottom w:val="0"/>
      <w:divBdr>
        <w:top w:val="none" w:sz="0" w:space="0" w:color="auto"/>
        <w:left w:val="none" w:sz="0" w:space="0" w:color="auto"/>
        <w:bottom w:val="none" w:sz="0" w:space="0" w:color="auto"/>
        <w:right w:val="none" w:sz="0" w:space="0" w:color="auto"/>
      </w:divBdr>
    </w:div>
    <w:div w:id="357898681">
      <w:bodyDiv w:val="1"/>
      <w:marLeft w:val="0"/>
      <w:marRight w:val="0"/>
      <w:marTop w:val="0"/>
      <w:marBottom w:val="0"/>
      <w:divBdr>
        <w:top w:val="none" w:sz="0" w:space="0" w:color="auto"/>
        <w:left w:val="none" w:sz="0" w:space="0" w:color="auto"/>
        <w:bottom w:val="none" w:sz="0" w:space="0" w:color="auto"/>
        <w:right w:val="none" w:sz="0" w:space="0" w:color="auto"/>
      </w:divBdr>
    </w:div>
    <w:div w:id="563416226">
      <w:bodyDiv w:val="1"/>
      <w:marLeft w:val="0"/>
      <w:marRight w:val="0"/>
      <w:marTop w:val="0"/>
      <w:marBottom w:val="0"/>
      <w:divBdr>
        <w:top w:val="none" w:sz="0" w:space="0" w:color="auto"/>
        <w:left w:val="none" w:sz="0" w:space="0" w:color="auto"/>
        <w:bottom w:val="none" w:sz="0" w:space="0" w:color="auto"/>
        <w:right w:val="none" w:sz="0" w:space="0" w:color="auto"/>
      </w:divBdr>
    </w:div>
    <w:div w:id="918711535">
      <w:bodyDiv w:val="1"/>
      <w:marLeft w:val="0"/>
      <w:marRight w:val="0"/>
      <w:marTop w:val="0"/>
      <w:marBottom w:val="0"/>
      <w:divBdr>
        <w:top w:val="none" w:sz="0" w:space="0" w:color="auto"/>
        <w:left w:val="none" w:sz="0" w:space="0" w:color="auto"/>
        <w:bottom w:val="none" w:sz="0" w:space="0" w:color="auto"/>
        <w:right w:val="none" w:sz="0" w:space="0" w:color="auto"/>
      </w:divBdr>
    </w:div>
    <w:div w:id="1108546644">
      <w:bodyDiv w:val="1"/>
      <w:marLeft w:val="0"/>
      <w:marRight w:val="0"/>
      <w:marTop w:val="0"/>
      <w:marBottom w:val="0"/>
      <w:divBdr>
        <w:top w:val="none" w:sz="0" w:space="0" w:color="auto"/>
        <w:left w:val="none" w:sz="0" w:space="0" w:color="auto"/>
        <w:bottom w:val="none" w:sz="0" w:space="0" w:color="auto"/>
        <w:right w:val="none" w:sz="0" w:space="0" w:color="auto"/>
      </w:divBdr>
    </w:div>
    <w:div w:id="1267227496">
      <w:bodyDiv w:val="1"/>
      <w:marLeft w:val="0"/>
      <w:marRight w:val="0"/>
      <w:marTop w:val="0"/>
      <w:marBottom w:val="0"/>
      <w:divBdr>
        <w:top w:val="none" w:sz="0" w:space="0" w:color="auto"/>
        <w:left w:val="none" w:sz="0" w:space="0" w:color="auto"/>
        <w:bottom w:val="none" w:sz="0" w:space="0" w:color="auto"/>
        <w:right w:val="none" w:sz="0" w:space="0" w:color="auto"/>
      </w:divBdr>
    </w:div>
    <w:div w:id="1415935065">
      <w:bodyDiv w:val="1"/>
      <w:marLeft w:val="0"/>
      <w:marRight w:val="0"/>
      <w:marTop w:val="0"/>
      <w:marBottom w:val="0"/>
      <w:divBdr>
        <w:top w:val="none" w:sz="0" w:space="0" w:color="auto"/>
        <w:left w:val="none" w:sz="0" w:space="0" w:color="auto"/>
        <w:bottom w:val="none" w:sz="0" w:space="0" w:color="auto"/>
        <w:right w:val="none" w:sz="0" w:space="0" w:color="auto"/>
      </w:divBdr>
    </w:div>
    <w:div w:id="1565943718">
      <w:bodyDiv w:val="1"/>
      <w:marLeft w:val="0"/>
      <w:marRight w:val="0"/>
      <w:marTop w:val="0"/>
      <w:marBottom w:val="0"/>
      <w:divBdr>
        <w:top w:val="none" w:sz="0" w:space="0" w:color="auto"/>
        <w:left w:val="none" w:sz="0" w:space="0" w:color="auto"/>
        <w:bottom w:val="none" w:sz="0" w:space="0" w:color="auto"/>
        <w:right w:val="none" w:sz="0" w:space="0" w:color="auto"/>
      </w:divBdr>
    </w:div>
    <w:div w:id="17288426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1522</Words>
  <Characters>8682</Characters>
  <Application>Microsoft Macintosh Word</Application>
  <DocSecurity>0</DocSecurity>
  <Lines>72</Lines>
  <Paragraphs>20</Paragraphs>
  <ScaleCrop>false</ScaleCrop>
  <Company>Scattergood Foundation</Company>
  <LinksUpToDate>false</LinksUpToDate>
  <CharactersWithSpaces>10184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45</cp:revision>
  <dcterms:created xsi:type="dcterms:W3CDTF">2018-08-15T15:49:00Z</dcterms:created>
  <dcterms:modified xsi:type="dcterms:W3CDTF">2018-08-15T17:38:00Z</dcterms:modified>
</cp:coreProperties>
</file>