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EAC6F" w14:textId="0A70A5E7" w:rsidR="00B46495" w:rsidRPr="00C22D46" w:rsidRDefault="00401F9A" w:rsidP="00401F9A">
      <w:pPr>
        <w:jc w:val="center"/>
        <w:rPr>
          <w:rFonts w:ascii="Times New Roman"/>
          <w:b/>
          <w:sz w:val="28"/>
          <w:szCs w:val="28"/>
        </w:rPr>
      </w:pPr>
      <w:r w:rsidRPr="00C22D46">
        <w:rPr>
          <w:rFonts w:ascii="Times New Roman"/>
          <w:b/>
          <w:sz w:val="28"/>
          <w:szCs w:val="28"/>
        </w:rPr>
        <w:t>SENATE</w:t>
      </w:r>
    </w:p>
    <w:p w14:paraId="283D06A1" w14:textId="1E993AE7" w:rsidR="00401F9A" w:rsidRPr="00C22D46" w:rsidRDefault="00C22D46" w:rsidP="00401F9A">
      <w:pPr>
        <w:jc w:val="center"/>
        <w:rPr>
          <w:rFonts w:ascii="Times New Roman"/>
          <w:b/>
          <w:sz w:val="28"/>
          <w:szCs w:val="28"/>
        </w:rPr>
      </w:pPr>
      <w:r w:rsidRPr="00C22D46">
        <w:rPr>
          <w:noProof/>
          <w:sz w:val="28"/>
          <w:szCs w:val="28"/>
        </w:rPr>
        <mc:AlternateContent>
          <mc:Choice Requires="wps">
            <w:drawing>
              <wp:anchor distT="0" distB="0" distL="114300" distR="114300" simplePos="0" relativeHeight="251659264" behindDoc="0" locked="0" layoutInCell="1" allowOverlap="1" wp14:anchorId="653C065C" wp14:editId="29FDBFA1">
                <wp:simplePos x="0" y="0"/>
                <wp:positionH relativeFrom="page">
                  <wp:posOffset>5486400</wp:posOffset>
                </wp:positionH>
                <wp:positionV relativeFrom="paragraph">
                  <wp:posOffset>165100</wp:posOffset>
                </wp:positionV>
                <wp:extent cx="1828800" cy="342900"/>
                <wp:effectExtent l="0" t="0" r="0"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323B6" w14:textId="515A2536" w:rsidR="00E94C73" w:rsidRPr="00401F9A" w:rsidRDefault="00E94C73" w:rsidP="00401F9A">
                            <w:pPr>
                              <w:spacing w:line="487" w:lineRule="exact"/>
                              <w:rPr>
                                <w:rFonts w:ascii="Times New Roman"/>
                                <w:b/>
                                <w:sz w:val="44"/>
                              </w:rPr>
                            </w:pPr>
                            <w:r w:rsidRPr="00401F9A">
                              <w:rPr>
                                <w:rFonts w:ascii="Times New Roman"/>
                                <w:b/>
                                <w:spacing w:val="-11"/>
                                <w:sz w:val="44"/>
                              </w:rPr>
                              <w:t xml:space="preserve">S.F. </w:t>
                            </w:r>
                            <w:r w:rsidRPr="00401F9A">
                              <w:rPr>
                                <w:rFonts w:ascii="Times New Roman"/>
                                <w:b/>
                                <w:sz w:val="44"/>
                              </w:rPr>
                              <w:t>No. 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6in;margin-top:13pt;width:2in;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" filled="f" stroked="f">
                <v:textbox inset="0,0,0,0">
                  <w:txbxContent>
                    <w:p w14:paraId="1FD323B6" w14:textId="515A2536" w:rsidR="00E94C73" w:rsidRPr="00401F9A" w:rsidRDefault="00E94C73" w:rsidP="00401F9A">
                      <w:pPr>
                        <w:spacing w:line="487" w:lineRule="exact"/>
                        <w:rPr>
                          <w:rFonts w:ascii="Times New Roman"/>
                          <w:b/>
                          <w:sz w:val="44"/>
                        </w:rPr>
                      </w:pPr>
                      <w:r w:rsidRPr="00401F9A">
                        <w:rPr>
                          <w:rFonts w:ascii="Times New Roman"/>
                          <w:b/>
                          <w:spacing w:val="-11"/>
                          <w:sz w:val="44"/>
                        </w:rPr>
                        <w:t xml:space="preserve">S.F. </w:t>
                      </w:r>
                      <w:r w:rsidRPr="00401F9A">
                        <w:rPr>
                          <w:rFonts w:ascii="Times New Roman"/>
                          <w:b/>
                          <w:sz w:val="44"/>
                        </w:rPr>
                        <w:t>No. XXXX</w:t>
                      </w:r>
                    </w:p>
                  </w:txbxContent>
                </v:textbox>
                <w10:wrap anchorx="page"/>
              </v:shape>
            </w:pict>
          </mc:Fallback>
        </mc:AlternateContent>
      </w:r>
      <w:r w:rsidR="00401F9A" w:rsidRPr="00C22D46">
        <w:rPr>
          <w:rFonts w:ascii="Times New Roman"/>
          <w:b/>
          <w:sz w:val="28"/>
          <w:szCs w:val="28"/>
        </w:rPr>
        <w:t>STATE OF MINNESOTA</w:t>
      </w:r>
    </w:p>
    <w:p w14:paraId="4834076F" w14:textId="04121C3B" w:rsidR="00401F9A" w:rsidRPr="00C22D46" w:rsidRDefault="00401F9A" w:rsidP="00401F9A">
      <w:pPr>
        <w:jc w:val="center"/>
        <w:rPr>
          <w:rFonts w:ascii="Calibri"/>
          <w:b/>
          <w:sz w:val="28"/>
          <w:szCs w:val="28"/>
        </w:rPr>
      </w:pPr>
      <w:r w:rsidRPr="00C22D46">
        <w:rPr>
          <w:rFonts w:ascii="Times New Roman"/>
          <w:b/>
          <w:sz w:val="28"/>
          <w:szCs w:val="28"/>
        </w:rPr>
        <w:t>NINETY-FIRST SESSION</w:t>
      </w:r>
    </w:p>
    <w:p w14:paraId="12A95AEB" w14:textId="77777777" w:rsidR="00C22D46" w:rsidRDefault="00C22D46" w:rsidP="002B4C85">
      <w:pPr>
        <w:rPr>
          <w:rFonts w:ascii="Times New Roman"/>
          <w:b/>
          <w:sz w:val="18"/>
        </w:rPr>
      </w:pPr>
    </w:p>
    <w:p w14:paraId="0611A551" w14:textId="77777777" w:rsidR="00C22D46" w:rsidRDefault="00C22D46" w:rsidP="002B4C85">
      <w:pPr>
        <w:rPr>
          <w:rFonts w:ascii="Times New Roman"/>
          <w:b/>
          <w:sz w:val="18"/>
        </w:rPr>
      </w:pPr>
    </w:p>
    <w:p w14:paraId="50CB8274" w14:textId="6A2C161E" w:rsidR="002B4C85" w:rsidRPr="002B4C85" w:rsidRDefault="002B4C85" w:rsidP="002B4C85">
      <w:pPr>
        <w:rPr>
          <w:rFonts w:ascii="Times New Roman"/>
          <w:b/>
          <w:sz w:val="18"/>
        </w:rPr>
      </w:pPr>
      <w:r w:rsidRPr="002B4C85">
        <w:rPr>
          <w:rFonts w:ascii="Times New Roman"/>
          <w:b/>
          <w:sz w:val="18"/>
        </w:rPr>
        <w:t xml:space="preserve">(SENATE AUTHORS: </w:t>
      </w:r>
      <w:r>
        <w:rPr>
          <w:rFonts w:ascii="Times New Roman"/>
          <w:b/>
          <w:sz w:val="18"/>
        </w:rPr>
        <w:t>______, ______, ______, _______</w:t>
      </w:r>
      <w:r w:rsidRPr="002B4C85">
        <w:rPr>
          <w:rFonts w:ascii="Times New Roman"/>
          <w:b/>
          <w:sz w:val="18"/>
        </w:rPr>
        <w:t xml:space="preserve"> and </w:t>
      </w:r>
      <w:r>
        <w:rPr>
          <w:rFonts w:ascii="Times New Roman"/>
          <w:b/>
          <w:sz w:val="18"/>
        </w:rPr>
        <w:t>______</w:t>
      </w:r>
      <w:r w:rsidRPr="002B4C85">
        <w:rPr>
          <w:rFonts w:ascii="Times New Roman"/>
          <w:b/>
          <w:sz w:val="18"/>
        </w:rPr>
        <w:t>)</w:t>
      </w:r>
    </w:p>
    <w:p w14:paraId="54AA0CB1" w14:textId="77777777" w:rsidR="00B46495" w:rsidRPr="00602C28" w:rsidRDefault="00B46495">
      <w:pPr>
        <w:rPr>
          <w:rFonts w:ascii="Times New Roman"/>
          <w:sz w:val="22"/>
          <w:szCs w:val="22"/>
        </w:rPr>
      </w:pPr>
    </w:p>
    <w:p w14:paraId="4CDF2A70" w14:textId="1CA3B766" w:rsidR="002B4C85" w:rsidRPr="00C226AF" w:rsidRDefault="00C226AF" w:rsidP="00C226AF">
      <w:pPr>
        <w:rPr>
          <w:rFonts w:ascii="Times New Roman"/>
          <w:b/>
          <w:sz w:val="22"/>
          <w:szCs w:val="22"/>
        </w:rPr>
      </w:pPr>
      <w:r>
        <w:rPr>
          <w:rFonts w:ascii="Times New Roman"/>
          <w:b/>
          <w:sz w:val="22"/>
          <w:szCs w:val="22"/>
        </w:rPr>
        <w:t>Date</w:t>
      </w:r>
      <w:r>
        <w:rPr>
          <w:rFonts w:ascii="Times New Roman"/>
          <w:b/>
          <w:sz w:val="22"/>
          <w:szCs w:val="22"/>
        </w:rPr>
        <w:tab/>
      </w:r>
      <w:r>
        <w:rPr>
          <w:rFonts w:ascii="Times New Roman"/>
          <w:b/>
          <w:sz w:val="22"/>
          <w:szCs w:val="22"/>
        </w:rPr>
        <w:tab/>
        <w:t>D-PG</w:t>
      </w:r>
      <w:r>
        <w:rPr>
          <w:rFonts w:ascii="Times New Roman"/>
          <w:b/>
          <w:sz w:val="22"/>
          <w:szCs w:val="22"/>
        </w:rPr>
        <w:tab/>
      </w:r>
      <w:r>
        <w:rPr>
          <w:rFonts w:ascii="Times New Roman"/>
          <w:b/>
          <w:sz w:val="22"/>
          <w:szCs w:val="22"/>
        </w:rPr>
        <w:tab/>
      </w:r>
      <w:r>
        <w:rPr>
          <w:rFonts w:ascii="Times New Roman"/>
          <w:b/>
          <w:sz w:val="22"/>
          <w:szCs w:val="22"/>
        </w:rPr>
        <w:tab/>
      </w:r>
      <w:r w:rsidR="000F77FB">
        <w:rPr>
          <w:rFonts w:ascii="Times New Roman"/>
          <w:b/>
          <w:sz w:val="22"/>
          <w:szCs w:val="22"/>
        </w:rPr>
        <w:tab/>
      </w:r>
      <w:r>
        <w:rPr>
          <w:rFonts w:ascii="Times New Roman"/>
          <w:b/>
          <w:sz w:val="22"/>
          <w:szCs w:val="22"/>
        </w:rPr>
        <w:t>OFFICIAL STATUS</w:t>
      </w:r>
    </w:p>
    <w:p w14:paraId="286BF610" w14:textId="77777777" w:rsidR="002B4C85" w:rsidRDefault="002B4C85">
      <w:pPr>
        <w:jc w:val="center"/>
        <w:rPr>
          <w:rFonts w:ascii="Times New Roman"/>
          <w:sz w:val="22"/>
          <w:szCs w:val="22"/>
        </w:rPr>
      </w:pPr>
    </w:p>
    <w:p w14:paraId="4FBF8D69" w14:textId="77777777" w:rsidR="000F77FB" w:rsidRDefault="000F77FB">
      <w:pPr>
        <w:jc w:val="center"/>
        <w:rPr>
          <w:rFonts w:ascii="Times New Roman"/>
          <w:sz w:val="22"/>
          <w:szCs w:val="22"/>
        </w:rPr>
      </w:pPr>
    </w:p>
    <w:p w14:paraId="02A0C852" w14:textId="77777777" w:rsidR="000F77FB" w:rsidRDefault="000F77FB">
      <w:pPr>
        <w:jc w:val="center"/>
        <w:rPr>
          <w:rFonts w:ascii="Times New Roman"/>
          <w:sz w:val="22"/>
          <w:szCs w:val="22"/>
        </w:rPr>
      </w:pPr>
    </w:p>
    <w:p w14:paraId="6D3196BA" w14:textId="77777777" w:rsidR="000F77FB" w:rsidRDefault="000F77FB">
      <w:pPr>
        <w:jc w:val="center"/>
        <w:rPr>
          <w:rFonts w:ascii="Times New Roman"/>
          <w:sz w:val="22"/>
          <w:szCs w:val="22"/>
        </w:rPr>
      </w:pPr>
    </w:p>
    <w:p w14:paraId="22704C78" w14:textId="77777777" w:rsidR="000F77FB" w:rsidRDefault="000F77FB">
      <w:pPr>
        <w:jc w:val="center"/>
        <w:rPr>
          <w:rFonts w:ascii="Times New Roman"/>
          <w:sz w:val="22"/>
          <w:szCs w:val="22"/>
        </w:rPr>
      </w:pPr>
    </w:p>
    <w:p w14:paraId="49325B8E" w14:textId="77777777" w:rsidR="000F77FB" w:rsidRDefault="000F77FB">
      <w:pPr>
        <w:jc w:val="center"/>
        <w:rPr>
          <w:rFonts w:ascii="Times New Roman"/>
          <w:sz w:val="22"/>
          <w:szCs w:val="22"/>
        </w:rPr>
      </w:pPr>
    </w:p>
    <w:p w14:paraId="2BEF26C3" w14:textId="77777777" w:rsidR="000F77FB" w:rsidRDefault="000F77FB">
      <w:pPr>
        <w:jc w:val="center"/>
        <w:rPr>
          <w:rFonts w:ascii="Times New Roman"/>
          <w:sz w:val="22"/>
          <w:szCs w:val="22"/>
        </w:rPr>
      </w:pPr>
    </w:p>
    <w:p w14:paraId="10AEC7F5" w14:textId="77777777" w:rsidR="000F77FB" w:rsidRDefault="000F77FB">
      <w:pPr>
        <w:jc w:val="center"/>
        <w:rPr>
          <w:rFonts w:ascii="Times New Roman"/>
          <w:sz w:val="22"/>
          <w:szCs w:val="22"/>
        </w:rPr>
      </w:pPr>
    </w:p>
    <w:p w14:paraId="1C39AF90" w14:textId="77777777" w:rsidR="000F77FB" w:rsidRDefault="000F77FB">
      <w:pPr>
        <w:jc w:val="center"/>
        <w:rPr>
          <w:rFonts w:ascii="Times New Roman"/>
          <w:sz w:val="22"/>
          <w:szCs w:val="22"/>
        </w:rPr>
      </w:pPr>
    </w:p>
    <w:p w14:paraId="6C10EB92" w14:textId="77777777" w:rsidR="000F77FB" w:rsidRDefault="000F77FB">
      <w:pPr>
        <w:jc w:val="center"/>
        <w:rPr>
          <w:rFonts w:ascii="Times New Roman"/>
          <w:sz w:val="22"/>
          <w:szCs w:val="22"/>
        </w:rPr>
      </w:pPr>
    </w:p>
    <w:p w14:paraId="602A2C16" w14:textId="77777777" w:rsidR="000F77FB" w:rsidRDefault="000F77FB">
      <w:pPr>
        <w:jc w:val="center"/>
        <w:rPr>
          <w:rFonts w:ascii="Times New Roman"/>
          <w:sz w:val="22"/>
          <w:szCs w:val="22"/>
        </w:rPr>
      </w:pPr>
    </w:p>
    <w:p w14:paraId="1AB5D17F" w14:textId="77777777" w:rsidR="00B46495" w:rsidRPr="00602C28" w:rsidRDefault="00DE4976">
      <w:pPr>
        <w:jc w:val="center"/>
        <w:rPr>
          <w:rFonts w:ascii="Times New Roman"/>
          <w:sz w:val="22"/>
          <w:szCs w:val="22"/>
        </w:rPr>
      </w:pPr>
      <w:r w:rsidRPr="00602C28">
        <w:rPr>
          <w:rFonts w:ascii="Times New Roman"/>
          <w:sz w:val="22"/>
          <w:szCs w:val="22"/>
        </w:rPr>
        <w:t>A bill for an act</w:t>
      </w:r>
    </w:p>
    <w:p w14:paraId="4C32BDE4" w14:textId="2FFCF6F2" w:rsidR="00B46495" w:rsidRPr="00602C28" w:rsidRDefault="00DE4976">
      <w:pPr>
        <w:rPr>
          <w:rFonts w:ascii="Times New Roman"/>
          <w:sz w:val="22"/>
          <w:szCs w:val="22"/>
        </w:rPr>
      </w:pPr>
      <w:r w:rsidRPr="00602C28">
        <w:rPr>
          <w:rFonts w:ascii="Times New Roman"/>
          <w:sz w:val="22"/>
          <w:szCs w:val="22"/>
        </w:rPr>
        <w:t xml:space="preserve">relating to insurance; requiring health plan transparency; requiring Department of Commerce Accountability; </w:t>
      </w:r>
      <w:r w:rsidR="002C3E50">
        <w:rPr>
          <w:rFonts w:ascii="Times New Roman"/>
          <w:sz w:val="22"/>
          <w:szCs w:val="22"/>
        </w:rPr>
        <w:t>requiring ease of access to medications for chemical dependency</w:t>
      </w:r>
      <w:r w:rsidR="002062E8">
        <w:rPr>
          <w:rFonts w:ascii="Times New Roman"/>
          <w:sz w:val="22"/>
          <w:szCs w:val="22"/>
        </w:rPr>
        <w:t>.</w:t>
      </w:r>
    </w:p>
    <w:p w14:paraId="51ABBBFA" w14:textId="77777777" w:rsidR="00B46495" w:rsidRPr="00602C28" w:rsidRDefault="00B46495">
      <w:pPr>
        <w:rPr>
          <w:rFonts w:ascii="Times New Roman"/>
          <w:sz w:val="22"/>
          <w:szCs w:val="22"/>
        </w:rPr>
      </w:pPr>
    </w:p>
    <w:p w14:paraId="44575217" w14:textId="77777777" w:rsidR="00B46495" w:rsidRPr="00602C28" w:rsidRDefault="00DE4976">
      <w:pPr>
        <w:rPr>
          <w:rFonts w:ascii="Times New Roman"/>
          <w:sz w:val="22"/>
          <w:szCs w:val="22"/>
        </w:rPr>
      </w:pPr>
      <w:r w:rsidRPr="00602C28">
        <w:rPr>
          <w:rFonts w:ascii="Times New Roman"/>
          <w:sz w:val="22"/>
          <w:szCs w:val="22"/>
        </w:rPr>
        <w:t>BE IT ENACTED BY THE LEGISLATURE OF THE STATE OF MINNESOTA:</w:t>
      </w:r>
    </w:p>
    <w:p w14:paraId="64F52840" w14:textId="77777777" w:rsidR="00B46495" w:rsidRPr="00602C28" w:rsidRDefault="00B46495">
      <w:pPr>
        <w:rPr>
          <w:rFonts w:ascii="Times New Roman"/>
          <w:sz w:val="22"/>
          <w:szCs w:val="22"/>
        </w:rPr>
      </w:pPr>
    </w:p>
    <w:p w14:paraId="2C160EAB" w14:textId="25C618F4" w:rsidR="00B46495" w:rsidRPr="00602C28" w:rsidRDefault="00DE4976">
      <w:pPr>
        <w:rPr>
          <w:rFonts w:ascii="Times New Roman"/>
          <w:sz w:val="22"/>
          <w:szCs w:val="22"/>
        </w:rPr>
      </w:pPr>
      <w:r w:rsidRPr="00602C28">
        <w:rPr>
          <w:rFonts w:ascii="Times New Roman"/>
          <w:sz w:val="22"/>
          <w:szCs w:val="22"/>
        </w:rPr>
        <w:tab/>
        <w:t>Se</w:t>
      </w:r>
      <w:r w:rsidR="007A7004">
        <w:rPr>
          <w:rFonts w:ascii="Times New Roman"/>
          <w:sz w:val="22"/>
          <w:szCs w:val="22"/>
        </w:rPr>
        <w:t>ction 1. Minnesota Statutes 2018</w:t>
      </w:r>
      <w:r w:rsidRPr="00602C28">
        <w:rPr>
          <w:rFonts w:ascii="Times New Roman"/>
          <w:sz w:val="22"/>
          <w:szCs w:val="22"/>
        </w:rPr>
        <w:t>, Section 62Q.47 is amended to read:</w:t>
      </w:r>
    </w:p>
    <w:p w14:paraId="653D93C8" w14:textId="28B5CCD9" w:rsidR="00B46495" w:rsidRPr="00602C28" w:rsidRDefault="00DE4976">
      <w:pPr>
        <w:rPr>
          <w:rFonts w:ascii="Times New Roman"/>
          <w:sz w:val="22"/>
          <w:szCs w:val="22"/>
        </w:rPr>
      </w:pPr>
      <w:r w:rsidRPr="00602C28">
        <w:rPr>
          <w:rFonts w:ascii="Times New Roman"/>
          <w:sz w:val="22"/>
          <w:szCs w:val="22"/>
        </w:rPr>
        <w:tab/>
      </w:r>
    </w:p>
    <w:p w14:paraId="065B3B72" w14:textId="77777777" w:rsidR="00B46495" w:rsidRPr="00602C28" w:rsidRDefault="00DE4976">
      <w:pPr>
        <w:rPr>
          <w:rFonts w:ascii="Times New Roman"/>
          <w:sz w:val="22"/>
          <w:szCs w:val="22"/>
        </w:rPr>
      </w:pPr>
      <w:r w:rsidRPr="00602C28">
        <w:rPr>
          <w:rFonts w:ascii="Times New Roman"/>
          <w:sz w:val="22"/>
          <w:szCs w:val="22"/>
        </w:rPr>
        <w:tab/>
        <w:t xml:space="preserve"> 62Q.47 ALCOHOLISM, MENTAL HEALTH, AND CHEMICAL DEPENDENCY SERVICES. </w:t>
      </w:r>
    </w:p>
    <w:p w14:paraId="75044B71" w14:textId="77777777" w:rsidR="00B46495" w:rsidRPr="00602C28" w:rsidRDefault="00B46495">
      <w:pPr>
        <w:rPr>
          <w:rFonts w:ascii="Times New Roman"/>
          <w:sz w:val="22"/>
          <w:szCs w:val="22"/>
        </w:rPr>
      </w:pPr>
    </w:p>
    <w:p w14:paraId="40CF35BF" w14:textId="10AD243F" w:rsidR="00B46495" w:rsidRPr="00602C28" w:rsidRDefault="00DE4976">
      <w:pPr>
        <w:ind w:firstLine="720"/>
        <w:rPr>
          <w:rFonts w:ascii="Times New Roman"/>
          <w:sz w:val="22"/>
          <w:szCs w:val="22"/>
        </w:rPr>
      </w:pPr>
      <w:r w:rsidRPr="00602C28">
        <w:rPr>
          <w:rFonts w:ascii="Times New Roman"/>
          <w:sz w:val="22"/>
          <w:szCs w:val="22"/>
        </w:rPr>
        <w:t>(a) All health plans, as defined in section 62Q.01, that provide coverage for alcoholism, mental health, or chemical dependency</w:t>
      </w:r>
      <w:r w:rsidR="00F61779">
        <w:rPr>
          <w:rFonts w:ascii="Times New Roman"/>
          <w:sz w:val="22"/>
          <w:szCs w:val="22"/>
        </w:rPr>
        <w:t xml:space="preserve"> </w:t>
      </w:r>
      <w:r w:rsidRPr="00602C28">
        <w:rPr>
          <w:rFonts w:ascii="Times New Roman"/>
          <w:sz w:val="22"/>
          <w:szCs w:val="22"/>
        </w:rPr>
        <w:t>services</w:t>
      </w:r>
      <w:r w:rsidR="00C84920">
        <w:rPr>
          <w:rFonts w:ascii="Times New Roman"/>
          <w:sz w:val="22"/>
          <w:szCs w:val="22"/>
        </w:rPr>
        <w:t xml:space="preserve"> </w:t>
      </w:r>
      <w:r w:rsidR="00C84920">
        <w:rPr>
          <w:rFonts w:ascii="Times New Roman"/>
          <w:sz w:val="22"/>
          <w:szCs w:val="22"/>
          <w:u w:val="single"/>
        </w:rPr>
        <w:t>or medications</w:t>
      </w:r>
      <w:r w:rsidRPr="00602C28">
        <w:rPr>
          <w:rFonts w:ascii="Times New Roman"/>
          <w:sz w:val="22"/>
          <w:szCs w:val="22"/>
        </w:rPr>
        <w:t xml:space="preserve">, must comply with the requirements of this section. </w:t>
      </w:r>
    </w:p>
    <w:p w14:paraId="684DB86D" w14:textId="12D198C4" w:rsidR="00B46495" w:rsidRPr="00602C28" w:rsidRDefault="00DE4976" w:rsidP="00DE4976">
      <w:pPr>
        <w:ind w:firstLine="720"/>
        <w:rPr>
          <w:rFonts w:ascii="Times New Roman"/>
          <w:b/>
          <w:bCs/>
          <w:sz w:val="22"/>
          <w:szCs w:val="22"/>
          <w:u w:val="single"/>
        </w:rPr>
      </w:pPr>
      <w:r w:rsidRPr="00602C28">
        <w:rPr>
          <w:rFonts w:ascii="Times New Roman"/>
          <w:sz w:val="22"/>
          <w:szCs w:val="22"/>
        </w:rPr>
        <w:t>(b) Cost-sharing requirements and benefit or service limitations for outpatient mental health and outpatient chemical dependency and alcoholism services</w:t>
      </w:r>
      <w:r w:rsidR="00D25F8B" w:rsidRPr="00602C28">
        <w:rPr>
          <w:rFonts w:ascii="Times New Roman"/>
          <w:sz w:val="22"/>
          <w:szCs w:val="22"/>
        </w:rPr>
        <w:t xml:space="preserve">, </w:t>
      </w:r>
      <w:r w:rsidRPr="00602C28">
        <w:rPr>
          <w:rFonts w:ascii="Times New Roman"/>
          <w:sz w:val="22"/>
          <w:szCs w:val="22"/>
        </w:rPr>
        <w:t xml:space="preserve">except for persons placed in chemical dependency services under Minnesota Rules, parts 9530.6600 to 9530.6660, must not place a greater financial burden on the insured or enrollee, or be more restrictive than those requirements and limitations for outpatient medical services. </w:t>
      </w:r>
    </w:p>
    <w:p w14:paraId="08A917DA" w14:textId="2411C4D1" w:rsidR="00B46495" w:rsidRPr="00602C28" w:rsidRDefault="00DE4976">
      <w:pPr>
        <w:ind w:firstLine="720"/>
        <w:rPr>
          <w:rFonts w:ascii="Times New Roman"/>
          <w:sz w:val="22"/>
          <w:szCs w:val="22"/>
        </w:rPr>
      </w:pPr>
      <w:r w:rsidRPr="00602C28">
        <w:rPr>
          <w:rFonts w:ascii="Times New Roman"/>
          <w:sz w:val="22"/>
          <w:szCs w:val="22"/>
        </w:rPr>
        <w:t>(c) Cost-sharing requirements and benefit or service limitations for inpatient hospital mental health and inpatient hospital and residential chemical dependency and alcoholism services</w:t>
      </w:r>
      <w:r w:rsidR="00D25F8B" w:rsidRPr="00602C28">
        <w:rPr>
          <w:rFonts w:ascii="Times New Roman"/>
          <w:sz w:val="22"/>
          <w:szCs w:val="22"/>
        </w:rPr>
        <w:t>,</w:t>
      </w:r>
      <w:r w:rsidR="00BF4037" w:rsidRPr="00602C28">
        <w:rPr>
          <w:rFonts w:ascii="Times New Roman"/>
          <w:sz w:val="22"/>
          <w:szCs w:val="22"/>
        </w:rPr>
        <w:t xml:space="preserve"> </w:t>
      </w:r>
      <w:r w:rsidRPr="00602C28">
        <w:rPr>
          <w:rFonts w:ascii="Times New Roman"/>
          <w:sz w:val="22"/>
          <w:szCs w:val="22"/>
        </w:rPr>
        <w:t xml:space="preserve">except for persons placed in chemical dependency services under Minnesota Rules, parts 9530.6600 to 9530.6660, must not place a greater financial burden on the insured or enrollee, or be more restrictive than those requirements and limitations for inpatient hospital medical services. </w:t>
      </w:r>
    </w:p>
    <w:p w14:paraId="7FD5A9DD" w14:textId="1A4EFDE3" w:rsidR="00B46495" w:rsidRPr="00602C28" w:rsidRDefault="00BC6D9F">
      <w:pPr>
        <w:ind w:firstLine="720"/>
        <w:rPr>
          <w:rFonts w:ascii="Times New Roman"/>
          <w:sz w:val="22"/>
          <w:szCs w:val="22"/>
        </w:rPr>
      </w:pPr>
      <w:r w:rsidRPr="00BC6D9F">
        <w:rPr>
          <w:rFonts w:ascii="Times New Roman"/>
          <w:sz w:val="22"/>
          <w:szCs w:val="22"/>
        </w:rPr>
        <w:t xml:space="preserve"> </w:t>
      </w:r>
      <w:r w:rsidR="00DE4976" w:rsidRPr="00BC6D9F">
        <w:rPr>
          <w:rFonts w:ascii="Times New Roman"/>
          <w:sz w:val="22"/>
          <w:szCs w:val="22"/>
        </w:rPr>
        <w:t>(d)</w:t>
      </w:r>
      <w:r w:rsidR="00DE4976" w:rsidRPr="00602C28">
        <w:rPr>
          <w:rFonts w:ascii="Times New Roman"/>
          <w:sz w:val="22"/>
          <w:szCs w:val="22"/>
        </w:rPr>
        <w:t xml:space="preserve"> All health plans must meet the requirements of the federal Mental Health Parity Act of 1996, Public Law 104-204; Paul Wellstone and Pete Domenici Mental Health Parity and Addiction Equity Act of 2008; the Affordable Care Act; and any amendments to, and federal guidance or regulations issued under, those acts.</w:t>
      </w:r>
    </w:p>
    <w:p w14:paraId="05E9AF06" w14:textId="19E27D02" w:rsidR="00B46495" w:rsidRPr="00602C28" w:rsidRDefault="00BC6D9F">
      <w:pPr>
        <w:ind w:firstLine="720"/>
        <w:rPr>
          <w:rFonts w:ascii="Times New Roman"/>
          <w:sz w:val="22"/>
          <w:szCs w:val="22"/>
          <w:u w:val="single"/>
        </w:rPr>
      </w:pPr>
      <w:r w:rsidRPr="00602C28">
        <w:rPr>
          <w:rFonts w:ascii="Times New Roman"/>
          <w:sz w:val="22"/>
          <w:szCs w:val="22"/>
          <w:u w:val="single"/>
        </w:rPr>
        <w:t xml:space="preserve"> </w:t>
      </w:r>
      <w:r w:rsidR="00721DBF">
        <w:rPr>
          <w:rFonts w:ascii="Times New Roman"/>
          <w:sz w:val="22"/>
          <w:szCs w:val="22"/>
          <w:u w:val="single"/>
        </w:rPr>
        <w:t>(e</w:t>
      </w:r>
      <w:r w:rsidR="00DE4976" w:rsidRPr="00602C28">
        <w:rPr>
          <w:rFonts w:ascii="Times New Roman"/>
          <w:sz w:val="22"/>
          <w:szCs w:val="22"/>
          <w:u w:val="single"/>
        </w:rPr>
        <w:t>) All</w:t>
      </w:r>
      <w:r w:rsidR="00DE4976" w:rsidRPr="00602C28">
        <w:rPr>
          <w:rFonts w:ascii="Times New Roman"/>
          <w:i/>
          <w:sz w:val="22"/>
          <w:szCs w:val="22"/>
          <w:u w:val="single"/>
        </w:rPr>
        <w:t xml:space="preserve"> </w:t>
      </w:r>
      <w:r w:rsidR="00DE4976" w:rsidRPr="00602C28">
        <w:rPr>
          <w:rFonts w:ascii="Times New Roman"/>
          <w:sz w:val="22"/>
          <w:szCs w:val="22"/>
          <w:u w:val="single"/>
        </w:rPr>
        <w:t xml:space="preserve">health plan </w:t>
      </w:r>
      <w:r w:rsidR="00DE4976" w:rsidRPr="00721DBF">
        <w:rPr>
          <w:rFonts w:ascii="Times New Roman"/>
          <w:sz w:val="22"/>
          <w:szCs w:val="22"/>
          <w:u w:val="single"/>
        </w:rPr>
        <w:t>companies</w:t>
      </w:r>
      <w:r w:rsidR="00DE4976" w:rsidRPr="00602C28">
        <w:rPr>
          <w:rFonts w:ascii="Times New Roman"/>
          <w:i/>
          <w:sz w:val="22"/>
          <w:szCs w:val="22"/>
          <w:u w:val="single"/>
        </w:rPr>
        <w:t xml:space="preserve"> </w:t>
      </w:r>
      <w:r w:rsidR="00DE4976" w:rsidRPr="00602C28">
        <w:rPr>
          <w:rFonts w:ascii="Times New Roman"/>
          <w:sz w:val="22"/>
          <w:szCs w:val="22"/>
          <w:u w:val="single"/>
        </w:rPr>
        <w:t>that provide coverage for alcoholism, mental health, or chemical dependency services must submit an annual report to the Department of Commerce on or before March 1 that contains the following information:</w:t>
      </w:r>
    </w:p>
    <w:p w14:paraId="70EC3412" w14:textId="588DE4F3" w:rsidR="00B46495" w:rsidRPr="00602C28" w:rsidRDefault="00DE4976">
      <w:pPr>
        <w:ind w:firstLine="720"/>
        <w:rPr>
          <w:rFonts w:ascii="Times New Roman"/>
          <w:sz w:val="22"/>
          <w:szCs w:val="22"/>
          <w:u w:val="single"/>
        </w:rPr>
      </w:pPr>
      <w:r w:rsidRPr="00602C28">
        <w:rPr>
          <w:rFonts w:ascii="Times New Roman"/>
          <w:sz w:val="22"/>
          <w:szCs w:val="22"/>
          <w:u w:val="single"/>
        </w:rPr>
        <w:lastRenderedPageBreak/>
        <w:t xml:space="preserve"> (1) A description of the process used to develop or select the medical necessity criteria for alcoholism, mental health, or chemical dependency benefits and the process used to develop or select the medical necessity criteria for medical and surgical</w:t>
      </w:r>
      <w:r w:rsidR="00551994">
        <w:rPr>
          <w:rFonts w:ascii="Times New Roman"/>
          <w:sz w:val="22"/>
          <w:szCs w:val="22"/>
          <w:u w:val="single"/>
        </w:rPr>
        <w:t xml:space="preserve"> benefits;</w:t>
      </w:r>
    </w:p>
    <w:p w14:paraId="30968DE7" w14:textId="31CADD10" w:rsidR="00B46495" w:rsidRPr="00602C28" w:rsidRDefault="00DE4976">
      <w:pPr>
        <w:ind w:firstLine="720"/>
        <w:rPr>
          <w:rFonts w:ascii="Times New Roman"/>
          <w:sz w:val="22"/>
          <w:szCs w:val="22"/>
          <w:u w:val="single"/>
        </w:rPr>
      </w:pPr>
      <w:r w:rsidRPr="00602C28">
        <w:rPr>
          <w:rFonts w:ascii="Times New Roman"/>
          <w:sz w:val="22"/>
          <w:szCs w:val="22"/>
          <w:u w:val="single"/>
        </w:rPr>
        <w:t>(2) Identification of all non-quantitative treatment limitations (NQTLs) that are applied to alcoholism, mental health, or chemical dependency</w:t>
      </w:r>
      <w:r w:rsidRPr="00602C28">
        <w:rPr>
          <w:rFonts w:ascii="Times New Roman"/>
          <w:i/>
          <w:sz w:val="22"/>
          <w:szCs w:val="22"/>
          <w:u w:val="single"/>
        </w:rPr>
        <w:t xml:space="preserve"> </w:t>
      </w:r>
      <w:r w:rsidRPr="00602C28">
        <w:rPr>
          <w:rFonts w:ascii="Times New Roman"/>
          <w:sz w:val="22"/>
          <w:szCs w:val="22"/>
          <w:u w:val="single"/>
        </w:rPr>
        <w:t xml:space="preserve">benefits and all NQTLs that are applied to medical and surgical benefits; </w:t>
      </w:r>
      <w:r w:rsidR="00721DBF" w:rsidRPr="00721DBF">
        <w:rPr>
          <w:rFonts w:ascii="Times New Roman"/>
          <w:sz w:val="22"/>
          <w:szCs w:val="22"/>
          <w:u w:val="single"/>
        </w:rPr>
        <w:t xml:space="preserve">there may be no separate NQTLs that apply to </w:t>
      </w:r>
      <w:r w:rsidR="00721DBF">
        <w:rPr>
          <w:rFonts w:ascii="Times New Roman"/>
          <w:sz w:val="22"/>
          <w:szCs w:val="22"/>
          <w:u w:val="single"/>
        </w:rPr>
        <w:t xml:space="preserve">alcoholism, mental health, or chemical dependency </w:t>
      </w:r>
      <w:r w:rsidR="00721DBF" w:rsidRPr="00721DBF">
        <w:rPr>
          <w:rFonts w:ascii="Times New Roman"/>
          <w:sz w:val="22"/>
          <w:szCs w:val="22"/>
          <w:u w:val="single"/>
        </w:rPr>
        <w:t>benefits but do not apply to medical and surgical benefits within</w:t>
      </w:r>
      <w:r w:rsidR="00551994">
        <w:rPr>
          <w:rFonts w:ascii="Times New Roman"/>
          <w:sz w:val="22"/>
          <w:szCs w:val="22"/>
          <w:u w:val="single"/>
        </w:rPr>
        <w:t xml:space="preserve"> any classification of benefits;</w:t>
      </w:r>
    </w:p>
    <w:p w14:paraId="1ACE9809" w14:textId="77777777" w:rsidR="00B46495" w:rsidRPr="00602C28" w:rsidRDefault="00DE4976">
      <w:pPr>
        <w:ind w:firstLine="720"/>
        <w:rPr>
          <w:rFonts w:ascii="Times New Roman"/>
          <w:sz w:val="22"/>
          <w:szCs w:val="22"/>
          <w:u w:val="single"/>
        </w:rPr>
      </w:pPr>
      <w:r w:rsidRPr="00602C28">
        <w:rPr>
          <w:rFonts w:ascii="Times New Roman"/>
          <w:sz w:val="22"/>
          <w:szCs w:val="22"/>
          <w:u w:val="single"/>
        </w:rPr>
        <w:t>(3) The results of an analysis that demonstrates that for the medical necessity criteria described in item (1) and for each NQTL identified in item (2), as written and in operation, the processes, strategies, evidentiary standards, or other factors used to apply the medical necessity criteria and each NQTL to alcoholism, mental health, or chemical dependency</w:t>
      </w:r>
      <w:r w:rsidRPr="00602C28">
        <w:rPr>
          <w:rFonts w:ascii="Times New Roman"/>
          <w:i/>
          <w:sz w:val="22"/>
          <w:szCs w:val="22"/>
          <w:u w:val="single"/>
        </w:rPr>
        <w:t xml:space="preserve"> </w:t>
      </w:r>
      <w:r w:rsidRPr="00602C28">
        <w:rPr>
          <w:rFonts w:ascii="Times New Roman"/>
          <w:sz w:val="22"/>
          <w:szCs w:val="22"/>
          <w:u w:val="single"/>
        </w:rPr>
        <w:t>benefits are comparable to, and are applied no more stringently than the processes, strategies, evidentiary standards, or other factors used to apply the medical necessity criteria and each NQTL, as written and in operation, to medical and surgical benefits; at a minimum, the results of the analysis shall:</w:t>
      </w:r>
    </w:p>
    <w:p w14:paraId="30452369" w14:textId="2752553E" w:rsidR="00F120ED" w:rsidRPr="00F120ED" w:rsidRDefault="00DE4976" w:rsidP="00F120ED">
      <w:pPr>
        <w:ind w:firstLine="720"/>
        <w:rPr>
          <w:rFonts w:ascii="Times New Roman"/>
          <w:sz w:val="22"/>
          <w:szCs w:val="22"/>
          <w:u w:val="single"/>
        </w:rPr>
      </w:pPr>
      <w:r w:rsidRPr="00602C28">
        <w:rPr>
          <w:rFonts w:ascii="Times New Roman"/>
          <w:sz w:val="22"/>
          <w:szCs w:val="22"/>
          <w:u w:val="single"/>
        </w:rPr>
        <w:t xml:space="preserve">(i) </w:t>
      </w:r>
      <w:r w:rsidR="00F120ED" w:rsidRPr="00F120ED">
        <w:rPr>
          <w:rFonts w:ascii="Times New Roman"/>
          <w:sz w:val="22"/>
          <w:szCs w:val="22"/>
          <w:u w:val="single"/>
        </w:rPr>
        <w:t>Identify the factors used to determine that an NQTL will apply to a benefit, including factors that were considered but rejected</w:t>
      </w:r>
      <w:r w:rsidR="00551994">
        <w:rPr>
          <w:rFonts w:ascii="Times New Roman"/>
          <w:sz w:val="22"/>
          <w:szCs w:val="22"/>
          <w:u w:val="single"/>
        </w:rPr>
        <w:t>;</w:t>
      </w:r>
    </w:p>
    <w:p w14:paraId="676C439E" w14:textId="1C9CF9AD" w:rsidR="00F120ED" w:rsidRPr="00F120ED" w:rsidRDefault="00F120ED" w:rsidP="00F120ED">
      <w:pPr>
        <w:ind w:firstLine="720"/>
        <w:rPr>
          <w:rFonts w:ascii="Times New Roman"/>
          <w:sz w:val="22"/>
          <w:szCs w:val="22"/>
          <w:u w:val="single"/>
        </w:rPr>
      </w:pPr>
      <w:r>
        <w:rPr>
          <w:rFonts w:ascii="Times New Roman"/>
          <w:sz w:val="22"/>
          <w:szCs w:val="22"/>
          <w:u w:val="single"/>
        </w:rPr>
        <w:t xml:space="preserve">(ii) </w:t>
      </w:r>
      <w:r w:rsidRPr="00F120ED">
        <w:rPr>
          <w:rFonts w:ascii="Times New Roman"/>
          <w:sz w:val="22"/>
          <w:szCs w:val="22"/>
          <w:u w:val="single"/>
        </w:rPr>
        <w:t>Identify and define the specific evidentiary standards used to define the factors and any other evidence relied upon in designing each NQTL</w:t>
      </w:r>
      <w:r w:rsidR="00551994">
        <w:rPr>
          <w:rFonts w:ascii="Times New Roman"/>
          <w:sz w:val="22"/>
          <w:szCs w:val="22"/>
          <w:u w:val="single"/>
        </w:rPr>
        <w:t>;</w:t>
      </w:r>
    </w:p>
    <w:p w14:paraId="3F6AE163" w14:textId="2D8925B6" w:rsidR="00F120ED" w:rsidRPr="00F120ED" w:rsidRDefault="00F120ED" w:rsidP="00F120ED">
      <w:pPr>
        <w:ind w:firstLine="720"/>
        <w:rPr>
          <w:rFonts w:ascii="Times New Roman"/>
          <w:sz w:val="22"/>
          <w:szCs w:val="22"/>
          <w:u w:val="single"/>
        </w:rPr>
      </w:pPr>
      <w:r>
        <w:rPr>
          <w:rFonts w:ascii="Times New Roman"/>
          <w:sz w:val="22"/>
          <w:szCs w:val="22"/>
          <w:u w:val="single"/>
        </w:rPr>
        <w:t xml:space="preserve">(iii) </w:t>
      </w:r>
      <w:r w:rsidRPr="00F120ED">
        <w:rPr>
          <w:rFonts w:ascii="Times New Roman"/>
          <w:sz w:val="22"/>
          <w:szCs w:val="22"/>
          <w:u w:val="single"/>
        </w:rPr>
        <w:t xml:space="preserve">Provide the comparative analyses, including the results of the analyses, performed to determine that the processes and strategies used to design each NQTL, as written, and the as written processes and strategies used to apply the NQTL to </w:t>
      </w:r>
      <w:r w:rsidR="00E94C73" w:rsidRPr="00602C28">
        <w:rPr>
          <w:rFonts w:ascii="Times New Roman"/>
          <w:sz w:val="22"/>
          <w:szCs w:val="22"/>
          <w:u w:val="single"/>
        </w:rPr>
        <w:t>alcoholism, mental health, or chemical dependency</w:t>
      </w:r>
      <w:r w:rsidR="00E94C73" w:rsidRPr="00602C28">
        <w:rPr>
          <w:rFonts w:ascii="Times New Roman"/>
          <w:i/>
          <w:sz w:val="22"/>
          <w:szCs w:val="22"/>
          <w:u w:val="single"/>
        </w:rPr>
        <w:t xml:space="preserve"> </w:t>
      </w:r>
      <w:r w:rsidRPr="00F120ED">
        <w:rPr>
          <w:rFonts w:ascii="Times New Roman"/>
          <w:sz w:val="22"/>
          <w:szCs w:val="22"/>
          <w:u w:val="single"/>
        </w:rPr>
        <w:t>benefits are comparable to, and are applied no more stringently than, the processes and strategies used to design each NQTL, as written, and the as written processes and strategies used to apply the NQTL to medical and surgical benefits</w:t>
      </w:r>
      <w:r w:rsidR="002843C2">
        <w:rPr>
          <w:rFonts w:ascii="Times New Roman"/>
          <w:sz w:val="22"/>
          <w:szCs w:val="22"/>
          <w:u w:val="single"/>
        </w:rPr>
        <w:t>;</w:t>
      </w:r>
    </w:p>
    <w:p w14:paraId="02555668" w14:textId="6FD76B83" w:rsidR="00F120ED" w:rsidRPr="00F120ED" w:rsidRDefault="00F120ED" w:rsidP="00F120ED">
      <w:pPr>
        <w:ind w:firstLine="720"/>
        <w:rPr>
          <w:rFonts w:ascii="Times New Roman"/>
          <w:sz w:val="22"/>
          <w:szCs w:val="22"/>
          <w:u w:val="single"/>
        </w:rPr>
      </w:pPr>
      <w:r>
        <w:rPr>
          <w:rFonts w:ascii="Times New Roman"/>
          <w:sz w:val="22"/>
          <w:szCs w:val="22"/>
          <w:u w:val="single"/>
        </w:rPr>
        <w:t xml:space="preserve">(iv) </w:t>
      </w:r>
      <w:r w:rsidRPr="00F120ED">
        <w:rPr>
          <w:rFonts w:ascii="Times New Roman"/>
          <w:sz w:val="22"/>
          <w:szCs w:val="22"/>
          <w:u w:val="single"/>
        </w:rPr>
        <w:t xml:space="preserve">Provide the comparative analyses, including the results of the analyses, performed to determine that the processes and strategies used to apply each NQTL, in operation, for </w:t>
      </w:r>
      <w:r w:rsidR="002843C2" w:rsidRPr="00602C28">
        <w:rPr>
          <w:rFonts w:ascii="Times New Roman"/>
          <w:sz w:val="22"/>
          <w:szCs w:val="22"/>
          <w:u w:val="single"/>
        </w:rPr>
        <w:t>alcoholism, mental health, or chemical dependency</w:t>
      </w:r>
      <w:r w:rsidR="002843C2" w:rsidRPr="00602C28">
        <w:rPr>
          <w:rFonts w:ascii="Times New Roman"/>
          <w:i/>
          <w:sz w:val="22"/>
          <w:szCs w:val="22"/>
          <w:u w:val="single"/>
        </w:rPr>
        <w:t xml:space="preserve"> </w:t>
      </w:r>
      <w:r w:rsidRPr="00F120ED">
        <w:rPr>
          <w:rFonts w:ascii="Times New Roman"/>
          <w:sz w:val="22"/>
          <w:szCs w:val="22"/>
          <w:u w:val="single"/>
        </w:rPr>
        <w:t>benefits are comparable to, and applied no more stringently than, the processes or strategies used to apply each NQTL, in operation, for medical and surgical benefits</w:t>
      </w:r>
      <w:r w:rsidR="002843C2">
        <w:rPr>
          <w:rFonts w:ascii="Times New Roman"/>
          <w:sz w:val="22"/>
          <w:szCs w:val="22"/>
          <w:u w:val="single"/>
        </w:rPr>
        <w:t>; and</w:t>
      </w:r>
    </w:p>
    <w:p w14:paraId="1EE0732E" w14:textId="64886803" w:rsidR="00F120ED" w:rsidRPr="00F120ED" w:rsidRDefault="00F120ED" w:rsidP="00F120ED">
      <w:pPr>
        <w:ind w:firstLine="720"/>
        <w:rPr>
          <w:rFonts w:ascii="Times New Roman"/>
          <w:sz w:val="22"/>
          <w:szCs w:val="22"/>
          <w:u w:val="single"/>
        </w:rPr>
      </w:pPr>
      <w:r>
        <w:rPr>
          <w:rFonts w:ascii="Times New Roman"/>
          <w:sz w:val="22"/>
          <w:szCs w:val="22"/>
          <w:u w:val="single"/>
        </w:rPr>
        <w:t xml:space="preserve">(v) </w:t>
      </w:r>
      <w:r w:rsidRPr="00F120ED">
        <w:rPr>
          <w:rFonts w:ascii="Times New Roman"/>
          <w:sz w:val="22"/>
          <w:szCs w:val="22"/>
          <w:u w:val="single"/>
        </w:rPr>
        <w:t xml:space="preserve">Disclose the specific findings and conclusions reached by the </w:t>
      </w:r>
      <w:r w:rsidR="004D1532">
        <w:rPr>
          <w:rFonts w:ascii="Times New Roman"/>
          <w:sz w:val="22"/>
          <w:szCs w:val="22"/>
          <w:u w:val="single"/>
        </w:rPr>
        <w:t xml:space="preserve">health plan company </w:t>
      </w:r>
      <w:r w:rsidRPr="00F120ED">
        <w:rPr>
          <w:rFonts w:ascii="Times New Roman"/>
          <w:sz w:val="22"/>
          <w:szCs w:val="22"/>
          <w:u w:val="single"/>
        </w:rPr>
        <w:t xml:space="preserve">that the results of the analyses above indicate that the </w:t>
      </w:r>
      <w:r w:rsidR="004D1532">
        <w:rPr>
          <w:rFonts w:ascii="Times New Roman"/>
          <w:sz w:val="22"/>
          <w:szCs w:val="22"/>
          <w:u w:val="single"/>
        </w:rPr>
        <w:t>health plan company</w:t>
      </w:r>
      <w:bookmarkStart w:id="0" w:name="_GoBack"/>
      <w:bookmarkEnd w:id="0"/>
      <w:r w:rsidRPr="00F120ED">
        <w:rPr>
          <w:rFonts w:ascii="Times New Roman"/>
          <w:sz w:val="22"/>
          <w:szCs w:val="22"/>
          <w:u w:val="single"/>
        </w:rPr>
        <w:t xml:space="preserve"> is in compliance with this section and the Mental Health Parity and Addiction Equity Act of 2008 and its implementing and related regulations, which includes 45 CFR 146.136, 45 CFR 147.160, and 45 CFR 156.115(a)(3).</w:t>
      </w:r>
    </w:p>
    <w:p w14:paraId="3B86BDC7" w14:textId="22317E13" w:rsidR="00B46495" w:rsidRPr="00602C28" w:rsidRDefault="001F7C14">
      <w:pPr>
        <w:ind w:firstLine="720"/>
        <w:rPr>
          <w:rFonts w:ascii="Times New Roman"/>
          <w:sz w:val="22"/>
          <w:szCs w:val="22"/>
          <w:u w:val="single"/>
        </w:rPr>
      </w:pPr>
      <w:r w:rsidRPr="00602C28">
        <w:rPr>
          <w:rFonts w:ascii="Times New Roman"/>
          <w:sz w:val="22"/>
          <w:szCs w:val="22"/>
          <w:u w:val="single"/>
        </w:rPr>
        <w:t xml:space="preserve"> </w:t>
      </w:r>
      <w:r>
        <w:rPr>
          <w:rFonts w:ascii="Times New Roman"/>
          <w:sz w:val="22"/>
          <w:szCs w:val="22"/>
          <w:u w:val="single"/>
        </w:rPr>
        <w:t>(f</w:t>
      </w:r>
      <w:r w:rsidR="00DE4976" w:rsidRPr="00602C28">
        <w:rPr>
          <w:rFonts w:ascii="Times New Roman"/>
          <w:sz w:val="22"/>
          <w:szCs w:val="22"/>
          <w:u w:val="single"/>
        </w:rPr>
        <w:t xml:space="preserve">) The </w:t>
      </w:r>
      <w:r w:rsidR="0009493F">
        <w:rPr>
          <w:rFonts w:ascii="Times New Roman"/>
          <w:sz w:val="22"/>
          <w:szCs w:val="22"/>
          <w:u w:val="single"/>
        </w:rPr>
        <w:t>commissioner of c</w:t>
      </w:r>
      <w:r w:rsidR="00DE4976" w:rsidRPr="00602C28">
        <w:rPr>
          <w:rFonts w:ascii="Times New Roman"/>
          <w:sz w:val="22"/>
          <w:szCs w:val="22"/>
          <w:u w:val="single"/>
        </w:rPr>
        <w:t>ommerce shall implement and enforce applicable provisions of the Paul Wellstone and Pete Domenici Mental Health Parity and Addiction Equity Act of 2008, 42 U.S.C. 18031(j), and any amendments to, and federal guidance or regulations issued under, those acts, including 45 CFR Parts 146 and 147, 45 CFR 156.115(a)(3), 62Q.47, and 62Q.53, which includes:</w:t>
      </w:r>
    </w:p>
    <w:p w14:paraId="3B2B43D3" w14:textId="58129D73" w:rsidR="00B46495" w:rsidRPr="00602C28" w:rsidRDefault="00DE4976">
      <w:pPr>
        <w:ind w:firstLine="720"/>
        <w:rPr>
          <w:rFonts w:ascii="Times New Roman"/>
          <w:sz w:val="22"/>
          <w:szCs w:val="22"/>
          <w:u w:val="single"/>
        </w:rPr>
      </w:pPr>
      <w:r w:rsidRPr="00602C28">
        <w:rPr>
          <w:rFonts w:ascii="Times New Roman"/>
          <w:sz w:val="22"/>
          <w:szCs w:val="22"/>
          <w:u w:val="single"/>
        </w:rPr>
        <w:t>(</w:t>
      </w:r>
      <w:r w:rsidR="001F7C14">
        <w:rPr>
          <w:rFonts w:ascii="Times New Roman"/>
          <w:sz w:val="22"/>
          <w:szCs w:val="22"/>
          <w:u w:val="single"/>
        </w:rPr>
        <w:t>1) Proactively e</w:t>
      </w:r>
      <w:r w:rsidRPr="00602C28">
        <w:rPr>
          <w:rFonts w:ascii="Times New Roman"/>
          <w:sz w:val="22"/>
          <w:szCs w:val="22"/>
          <w:u w:val="single"/>
        </w:rPr>
        <w:t xml:space="preserve">nsuring compliance by </w:t>
      </w:r>
      <w:r w:rsidR="001F7C14">
        <w:rPr>
          <w:rFonts w:ascii="Times New Roman"/>
          <w:sz w:val="22"/>
          <w:szCs w:val="22"/>
          <w:u w:val="single"/>
        </w:rPr>
        <w:t>health plan companies</w:t>
      </w:r>
      <w:r w:rsidR="003C4E3D">
        <w:rPr>
          <w:rFonts w:ascii="Times New Roman"/>
          <w:sz w:val="22"/>
          <w:szCs w:val="22"/>
          <w:u w:val="single"/>
        </w:rPr>
        <w:t xml:space="preserve"> that provide coverage for alcoholism, mental health, or chemical dependency services</w:t>
      </w:r>
      <w:r w:rsidR="001F7C14">
        <w:rPr>
          <w:rFonts w:ascii="Times New Roman"/>
          <w:sz w:val="22"/>
          <w:szCs w:val="22"/>
          <w:u w:val="single"/>
        </w:rPr>
        <w:t>;</w:t>
      </w:r>
    </w:p>
    <w:p w14:paraId="7588F1D3" w14:textId="3AD95766" w:rsidR="00B46495" w:rsidRPr="00602C28" w:rsidRDefault="001F7C14">
      <w:pPr>
        <w:ind w:firstLine="720"/>
        <w:rPr>
          <w:rFonts w:ascii="Times New Roman"/>
          <w:sz w:val="22"/>
          <w:szCs w:val="22"/>
          <w:u w:val="single"/>
        </w:rPr>
      </w:pPr>
      <w:r>
        <w:rPr>
          <w:rFonts w:ascii="Times New Roman"/>
          <w:sz w:val="22"/>
          <w:szCs w:val="22"/>
          <w:u w:val="single"/>
        </w:rPr>
        <w:t>(2</w:t>
      </w:r>
      <w:r w:rsidR="00DE4976" w:rsidRPr="00602C28">
        <w:rPr>
          <w:rFonts w:ascii="Times New Roman"/>
          <w:sz w:val="22"/>
          <w:szCs w:val="22"/>
          <w:u w:val="single"/>
        </w:rPr>
        <w:t xml:space="preserve">) </w:t>
      </w:r>
      <w:r>
        <w:rPr>
          <w:rFonts w:ascii="Times New Roman"/>
          <w:sz w:val="22"/>
          <w:szCs w:val="22"/>
          <w:u w:val="single"/>
        </w:rPr>
        <w:t>Evaluating</w:t>
      </w:r>
      <w:r w:rsidR="00DE4976" w:rsidRPr="00602C28">
        <w:rPr>
          <w:rFonts w:ascii="Times New Roman"/>
          <w:sz w:val="22"/>
          <w:szCs w:val="22"/>
          <w:u w:val="single"/>
        </w:rPr>
        <w:t xml:space="preserve">, </w:t>
      </w:r>
      <w:r>
        <w:rPr>
          <w:rFonts w:ascii="Times New Roman"/>
          <w:sz w:val="22"/>
          <w:szCs w:val="22"/>
          <w:u w:val="single"/>
        </w:rPr>
        <w:t>all consumer and provider</w:t>
      </w:r>
      <w:r w:rsidR="00DE4976" w:rsidRPr="00602C28">
        <w:rPr>
          <w:rFonts w:ascii="Times New Roman"/>
          <w:sz w:val="22"/>
          <w:szCs w:val="22"/>
          <w:u w:val="single"/>
        </w:rPr>
        <w:t xml:space="preserve"> complaints regarding </w:t>
      </w:r>
      <w:r>
        <w:rPr>
          <w:rFonts w:ascii="Times New Roman"/>
          <w:sz w:val="22"/>
          <w:szCs w:val="22"/>
          <w:u w:val="single"/>
        </w:rPr>
        <w:t>alcoholism, mental health, or chemical dependency for possible parity violations;</w:t>
      </w:r>
    </w:p>
    <w:p w14:paraId="21B2166D" w14:textId="57ECA25F" w:rsidR="00B46495" w:rsidRDefault="001F7C14">
      <w:pPr>
        <w:ind w:firstLine="720"/>
        <w:rPr>
          <w:rFonts w:ascii="Times New Roman"/>
          <w:sz w:val="22"/>
          <w:szCs w:val="22"/>
          <w:u w:val="single"/>
        </w:rPr>
      </w:pPr>
      <w:r>
        <w:rPr>
          <w:rFonts w:ascii="Times New Roman"/>
          <w:sz w:val="22"/>
          <w:szCs w:val="22"/>
          <w:u w:val="single"/>
        </w:rPr>
        <w:t>(3</w:t>
      </w:r>
      <w:r w:rsidR="00DE4976" w:rsidRPr="00602C28">
        <w:rPr>
          <w:rFonts w:ascii="Times New Roman"/>
          <w:sz w:val="22"/>
          <w:szCs w:val="22"/>
          <w:u w:val="single"/>
        </w:rPr>
        <w:t xml:space="preserve">) </w:t>
      </w:r>
      <w:r w:rsidRPr="001F7C14">
        <w:rPr>
          <w:rFonts w:ascii="Times New Roman"/>
          <w:sz w:val="22"/>
          <w:szCs w:val="22"/>
          <w:u w:val="single"/>
        </w:rPr>
        <w:t xml:space="preserve">Performing parity compliance market conduct examinations of </w:t>
      </w:r>
      <w:r>
        <w:rPr>
          <w:rFonts w:ascii="Times New Roman"/>
          <w:sz w:val="22"/>
          <w:szCs w:val="22"/>
          <w:u w:val="single"/>
        </w:rPr>
        <w:t>health plan companies</w:t>
      </w:r>
      <w:r w:rsidRPr="001F7C14">
        <w:rPr>
          <w:rFonts w:ascii="Times New Roman"/>
          <w:sz w:val="22"/>
          <w:szCs w:val="22"/>
          <w:u w:val="single"/>
        </w:rPr>
        <w:t>, particularly market conduct examinations that focus on nonquantitative treatment limitations such as prior authorization, concurrent review, retrospective review, step-therapy, network admission standards, reimbursement rates, and geographic restrictions, among other nonqua</w:t>
      </w:r>
      <w:r>
        <w:rPr>
          <w:rFonts w:ascii="Times New Roman"/>
          <w:sz w:val="22"/>
          <w:szCs w:val="22"/>
          <w:u w:val="single"/>
        </w:rPr>
        <w:t xml:space="preserve">ntitative treatment limitations; </w:t>
      </w:r>
    </w:p>
    <w:p w14:paraId="4265D6C2" w14:textId="0C4FAAE7" w:rsidR="001F7C14" w:rsidRDefault="001F7C14">
      <w:pPr>
        <w:ind w:firstLine="720"/>
        <w:rPr>
          <w:rFonts w:ascii="Times New Roman"/>
          <w:sz w:val="22"/>
          <w:szCs w:val="22"/>
          <w:u w:val="single"/>
        </w:rPr>
      </w:pPr>
      <w:r>
        <w:rPr>
          <w:rFonts w:ascii="Times New Roman"/>
          <w:sz w:val="22"/>
          <w:szCs w:val="22"/>
          <w:u w:val="single"/>
        </w:rPr>
        <w:t xml:space="preserve">(4) </w:t>
      </w:r>
      <w:r w:rsidRPr="001F7C14">
        <w:rPr>
          <w:rFonts w:ascii="Times New Roman"/>
          <w:sz w:val="22"/>
          <w:szCs w:val="22"/>
          <w:u w:val="single"/>
        </w:rPr>
        <w:t xml:space="preserve">Requesting that </w:t>
      </w:r>
      <w:r>
        <w:rPr>
          <w:rFonts w:ascii="Times New Roman"/>
          <w:sz w:val="22"/>
          <w:szCs w:val="22"/>
          <w:u w:val="single"/>
        </w:rPr>
        <w:t>health plan companies</w:t>
      </w:r>
      <w:r w:rsidRPr="001F7C14">
        <w:rPr>
          <w:rFonts w:ascii="Times New Roman"/>
          <w:sz w:val="22"/>
          <w:szCs w:val="22"/>
          <w:u w:val="single"/>
        </w:rPr>
        <w:t xml:space="preserve"> submit comparative analyses during the form review process demonstrating how they design and apply nonquantitative treatment limitations, both as written and in operation, for </w:t>
      </w:r>
      <w:r>
        <w:rPr>
          <w:rFonts w:ascii="Times New Roman"/>
          <w:sz w:val="22"/>
          <w:szCs w:val="22"/>
          <w:u w:val="single"/>
        </w:rPr>
        <w:t>alcoholism, mental health, or chemical dependency</w:t>
      </w:r>
      <w:r w:rsidRPr="001F7C14">
        <w:rPr>
          <w:rFonts w:ascii="Times New Roman"/>
          <w:sz w:val="22"/>
          <w:szCs w:val="22"/>
          <w:u w:val="single"/>
        </w:rPr>
        <w:t xml:space="preserve"> benefits as compared to how they design and apply nonquantitative treatment limitations, as written and in operation, fo</w:t>
      </w:r>
      <w:r>
        <w:rPr>
          <w:rFonts w:ascii="Times New Roman"/>
          <w:sz w:val="22"/>
          <w:szCs w:val="22"/>
          <w:u w:val="single"/>
        </w:rPr>
        <w:t>r medical and surgical benefits; and</w:t>
      </w:r>
    </w:p>
    <w:p w14:paraId="16BDD98D" w14:textId="5862A356" w:rsidR="001F7C14" w:rsidRDefault="001F7C14">
      <w:pPr>
        <w:ind w:firstLine="720"/>
        <w:rPr>
          <w:rFonts w:ascii="Times New Roman"/>
          <w:sz w:val="22"/>
          <w:szCs w:val="22"/>
          <w:u w:val="single"/>
        </w:rPr>
      </w:pPr>
      <w:r>
        <w:rPr>
          <w:rFonts w:ascii="Times New Roman"/>
          <w:sz w:val="22"/>
          <w:szCs w:val="22"/>
          <w:u w:val="single"/>
        </w:rPr>
        <w:t xml:space="preserve">(5) </w:t>
      </w:r>
      <w:r w:rsidRPr="001F7C14">
        <w:rPr>
          <w:rFonts w:ascii="Times New Roman"/>
          <w:sz w:val="22"/>
          <w:szCs w:val="22"/>
          <w:u w:val="single"/>
        </w:rPr>
        <w:t xml:space="preserve">The </w:t>
      </w:r>
      <w:r w:rsidR="00C83798">
        <w:rPr>
          <w:rFonts w:ascii="Times New Roman"/>
          <w:sz w:val="22"/>
          <w:szCs w:val="22"/>
          <w:u w:val="single"/>
        </w:rPr>
        <w:t>commissioner of commerce</w:t>
      </w:r>
      <w:r w:rsidRPr="001F7C14">
        <w:rPr>
          <w:rFonts w:ascii="Times New Roman"/>
          <w:sz w:val="22"/>
          <w:szCs w:val="22"/>
          <w:u w:val="single"/>
        </w:rPr>
        <w:t xml:space="preserve"> </w:t>
      </w:r>
      <w:r w:rsidR="00D152B7">
        <w:rPr>
          <w:rFonts w:ascii="Times New Roman"/>
          <w:sz w:val="22"/>
          <w:szCs w:val="22"/>
          <w:u w:val="single"/>
        </w:rPr>
        <w:t>may</w:t>
      </w:r>
      <w:r w:rsidRPr="001F7C14">
        <w:rPr>
          <w:rFonts w:ascii="Times New Roman"/>
          <w:sz w:val="22"/>
          <w:szCs w:val="22"/>
          <w:u w:val="single"/>
        </w:rPr>
        <w:t xml:space="preserve"> adopt rules, under </w:t>
      </w:r>
      <w:r w:rsidR="00C83798">
        <w:rPr>
          <w:rFonts w:ascii="Times New Roman"/>
          <w:sz w:val="22"/>
          <w:szCs w:val="22"/>
          <w:u w:val="single"/>
        </w:rPr>
        <w:t>14.05</w:t>
      </w:r>
      <w:r w:rsidRPr="001F7C14">
        <w:rPr>
          <w:rFonts w:ascii="Times New Roman"/>
          <w:sz w:val="22"/>
          <w:szCs w:val="22"/>
          <w:u w:val="single"/>
        </w:rPr>
        <w:t>, as may be necessary to effectuate any provisions of the Paul Wellstone and Pete Domenici Mental Health Parity and Addiction Equity Act of 2008 that relate to the business of insurance.</w:t>
      </w:r>
    </w:p>
    <w:p w14:paraId="1BAA31A5" w14:textId="08DAD8B1" w:rsidR="001B64B1" w:rsidRDefault="001B64B1">
      <w:pPr>
        <w:ind w:firstLine="720"/>
        <w:rPr>
          <w:rFonts w:ascii="Times New Roman"/>
          <w:sz w:val="22"/>
          <w:szCs w:val="22"/>
          <w:u w:val="single"/>
        </w:rPr>
      </w:pPr>
      <w:r>
        <w:rPr>
          <w:rFonts w:ascii="Times New Roman"/>
          <w:sz w:val="22"/>
          <w:szCs w:val="22"/>
          <w:u w:val="single"/>
        </w:rPr>
        <w:t>(g) All health plan companies that provide coverage of prescription medications for the treatment of chemical dependency shall comply with the following:</w:t>
      </w:r>
    </w:p>
    <w:p w14:paraId="7707FF52" w14:textId="405C3052" w:rsidR="001B64B1" w:rsidRDefault="001B64B1">
      <w:pPr>
        <w:ind w:firstLine="720"/>
        <w:rPr>
          <w:rFonts w:ascii="Times New Roman"/>
          <w:sz w:val="22"/>
          <w:szCs w:val="22"/>
          <w:u w:val="single"/>
        </w:rPr>
      </w:pPr>
      <w:r>
        <w:rPr>
          <w:rFonts w:ascii="Times New Roman"/>
          <w:sz w:val="22"/>
          <w:szCs w:val="22"/>
          <w:u w:val="single"/>
        </w:rPr>
        <w:t xml:space="preserve">(1) </w:t>
      </w:r>
      <w:r w:rsidRPr="001B64B1">
        <w:rPr>
          <w:rFonts w:ascii="Times New Roman"/>
          <w:sz w:val="22"/>
          <w:szCs w:val="22"/>
          <w:u w:val="single"/>
        </w:rPr>
        <w:t xml:space="preserve">Each </w:t>
      </w:r>
      <w:r>
        <w:rPr>
          <w:rFonts w:ascii="Times New Roman"/>
          <w:sz w:val="22"/>
          <w:szCs w:val="22"/>
          <w:u w:val="single"/>
        </w:rPr>
        <w:t>health plan company</w:t>
      </w:r>
      <w:r w:rsidRPr="001B64B1">
        <w:rPr>
          <w:rFonts w:ascii="Times New Roman"/>
          <w:sz w:val="22"/>
          <w:szCs w:val="22"/>
          <w:u w:val="single"/>
        </w:rPr>
        <w:t xml:space="preserve"> shall not impose any prior authorization requirements on any prescription medication approved by the federal Food and Drug Administrat</w:t>
      </w:r>
      <w:r>
        <w:rPr>
          <w:rFonts w:ascii="Times New Roman"/>
          <w:sz w:val="22"/>
          <w:szCs w:val="22"/>
          <w:u w:val="single"/>
        </w:rPr>
        <w:t>ion (FDA) for the treatment of chemical dependency</w:t>
      </w:r>
      <w:r w:rsidR="0036284E">
        <w:rPr>
          <w:rFonts w:ascii="Times New Roman"/>
          <w:sz w:val="22"/>
          <w:szCs w:val="22"/>
          <w:u w:val="single"/>
        </w:rPr>
        <w:t>;</w:t>
      </w:r>
    </w:p>
    <w:p w14:paraId="1433C839" w14:textId="30390FBA" w:rsidR="0036284E" w:rsidRDefault="001B64B1" w:rsidP="00F15B06">
      <w:pPr>
        <w:ind w:firstLine="720"/>
        <w:rPr>
          <w:rFonts w:ascii="Times New Roman"/>
          <w:sz w:val="22"/>
          <w:szCs w:val="22"/>
          <w:u w:val="single"/>
        </w:rPr>
      </w:pPr>
      <w:r>
        <w:rPr>
          <w:rFonts w:ascii="Times New Roman"/>
          <w:sz w:val="22"/>
          <w:szCs w:val="22"/>
          <w:u w:val="single"/>
        </w:rPr>
        <w:t xml:space="preserve">(2) Each health plan company </w:t>
      </w:r>
      <w:r w:rsidRPr="001B64B1">
        <w:rPr>
          <w:rFonts w:ascii="Times New Roman"/>
          <w:sz w:val="22"/>
          <w:szCs w:val="22"/>
          <w:u w:val="single"/>
        </w:rPr>
        <w:t xml:space="preserve">shall not impose any step therapy requirements before the </w:t>
      </w:r>
      <w:r w:rsidR="0036284E">
        <w:rPr>
          <w:rFonts w:ascii="Times New Roman"/>
          <w:sz w:val="22"/>
          <w:szCs w:val="22"/>
          <w:u w:val="single"/>
        </w:rPr>
        <w:t>health plan company</w:t>
      </w:r>
      <w:r w:rsidRPr="001B64B1">
        <w:rPr>
          <w:rFonts w:ascii="Times New Roman"/>
          <w:sz w:val="22"/>
          <w:szCs w:val="22"/>
          <w:u w:val="single"/>
        </w:rPr>
        <w:t xml:space="preserve"> will authorize coverage for a prescription medication approved by the FDA for the treatment of </w:t>
      </w:r>
      <w:r>
        <w:rPr>
          <w:rFonts w:ascii="Times New Roman"/>
          <w:sz w:val="22"/>
          <w:szCs w:val="22"/>
          <w:u w:val="single"/>
        </w:rPr>
        <w:t xml:space="preserve">chemical </w:t>
      </w:r>
      <w:r w:rsidR="0036284E">
        <w:rPr>
          <w:rFonts w:ascii="Times New Roman"/>
          <w:sz w:val="22"/>
          <w:szCs w:val="22"/>
          <w:u w:val="single"/>
        </w:rPr>
        <w:t>dependency;</w:t>
      </w:r>
    </w:p>
    <w:p w14:paraId="181D1AF4" w14:textId="7179FDD0" w:rsidR="00F15B06" w:rsidRDefault="00F15B06" w:rsidP="00F15B06">
      <w:pPr>
        <w:ind w:firstLine="720"/>
        <w:rPr>
          <w:rFonts w:ascii="Times New Roman"/>
          <w:sz w:val="22"/>
          <w:szCs w:val="22"/>
          <w:u w:val="single"/>
        </w:rPr>
      </w:pPr>
      <w:r>
        <w:rPr>
          <w:rFonts w:ascii="Times New Roman"/>
          <w:sz w:val="22"/>
          <w:szCs w:val="22"/>
          <w:u w:val="single"/>
        </w:rPr>
        <w:t xml:space="preserve">(3) Each health plan company </w:t>
      </w:r>
      <w:r w:rsidRPr="00F15B06">
        <w:rPr>
          <w:rFonts w:ascii="Times New Roman"/>
          <w:sz w:val="22"/>
          <w:szCs w:val="22"/>
          <w:u w:val="single"/>
        </w:rPr>
        <w:t xml:space="preserve">shall place all prescription medications approved by the FDA for the treatment of </w:t>
      </w:r>
      <w:r>
        <w:rPr>
          <w:rFonts w:ascii="Times New Roman"/>
          <w:sz w:val="22"/>
          <w:szCs w:val="22"/>
          <w:u w:val="single"/>
        </w:rPr>
        <w:t>chemical dependency</w:t>
      </w:r>
      <w:r w:rsidRPr="00F15B06">
        <w:rPr>
          <w:rFonts w:ascii="Times New Roman"/>
          <w:sz w:val="22"/>
          <w:szCs w:val="22"/>
          <w:u w:val="single"/>
        </w:rPr>
        <w:t xml:space="preserve"> on the lowest tier of the drug formulary developed and maintained by the </w:t>
      </w:r>
      <w:r>
        <w:rPr>
          <w:rFonts w:ascii="Times New Roman"/>
          <w:sz w:val="22"/>
          <w:szCs w:val="22"/>
          <w:u w:val="single"/>
        </w:rPr>
        <w:t>health plan company; and</w:t>
      </w:r>
    </w:p>
    <w:p w14:paraId="537603BB" w14:textId="458C6996" w:rsidR="00F15B06" w:rsidRPr="00602C28" w:rsidRDefault="00F15B06" w:rsidP="00F15B06">
      <w:pPr>
        <w:ind w:firstLine="720"/>
        <w:rPr>
          <w:rFonts w:ascii="Times New Roman"/>
          <w:sz w:val="22"/>
          <w:szCs w:val="22"/>
          <w:u w:val="single"/>
        </w:rPr>
      </w:pPr>
      <w:r>
        <w:rPr>
          <w:rFonts w:ascii="Times New Roman"/>
          <w:sz w:val="22"/>
          <w:szCs w:val="22"/>
          <w:u w:val="single"/>
        </w:rPr>
        <w:t>(4) Each health plan company</w:t>
      </w:r>
      <w:r w:rsidRPr="00F15B06">
        <w:t xml:space="preserve"> </w:t>
      </w:r>
      <w:r w:rsidRPr="00F15B06">
        <w:rPr>
          <w:rFonts w:ascii="Times New Roman"/>
          <w:sz w:val="22"/>
          <w:szCs w:val="22"/>
          <w:u w:val="single"/>
        </w:rPr>
        <w:t xml:space="preserve">shall not exclude coverage for any prescription medication approved by the FDA for the treatment of </w:t>
      </w:r>
      <w:r>
        <w:rPr>
          <w:rFonts w:ascii="Times New Roman"/>
          <w:sz w:val="22"/>
          <w:szCs w:val="22"/>
          <w:u w:val="single"/>
        </w:rPr>
        <w:t>chemical dependency</w:t>
      </w:r>
      <w:r w:rsidRPr="00F15B06">
        <w:rPr>
          <w:rFonts w:ascii="Times New Roman"/>
          <w:sz w:val="22"/>
          <w:szCs w:val="22"/>
          <w:u w:val="single"/>
        </w:rPr>
        <w:t xml:space="preserve"> and any associated counseling or wraparound services on the grounds that such medications and services were court ordered.</w:t>
      </w:r>
    </w:p>
    <w:p w14:paraId="43657375" w14:textId="77777777" w:rsidR="00B46495" w:rsidRPr="00602C28" w:rsidRDefault="00B46495">
      <w:pPr>
        <w:ind w:firstLine="720"/>
        <w:rPr>
          <w:rFonts w:ascii="Times New Roman"/>
          <w:sz w:val="22"/>
          <w:szCs w:val="22"/>
          <w:u w:val="single"/>
        </w:rPr>
      </w:pPr>
    </w:p>
    <w:p w14:paraId="1435728B" w14:textId="77777777" w:rsidR="00B46495" w:rsidRPr="00602C28" w:rsidRDefault="00B46495">
      <w:pPr>
        <w:ind w:firstLine="720"/>
        <w:rPr>
          <w:rFonts w:ascii="Times New Roman"/>
          <w:sz w:val="22"/>
          <w:szCs w:val="22"/>
        </w:rPr>
      </w:pPr>
    </w:p>
    <w:p w14:paraId="1F436B7C" w14:textId="77777777" w:rsidR="00B46495" w:rsidRPr="00602C28" w:rsidRDefault="00B46495">
      <w:pPr>
        <w:ind w:firstLine="720"/>
        <w:rPr>
          <w:rFonts w:ascii="Times New Roman"/>
          <w:sz w:val="22"/>
          <w:szCs w:val="22"/>
          <w:u w:val="single"/>
        </w:rPr>
      </w:pPr>
    </w:p>
    <w:p w14:paraId="787F2DD0" w14:textId="77777777" w:rsidR="00B46495" w:rsidRPr="00602C28" w:rsidRDefault="00B46495">
      <w:pPr>
        <w:ind w:firstLine="720"/>
        <w:rPr>
          <w:rFonts w:ascii="Times New Roman"/>
          <w:sz w:val="22"/>
          <w:szCs w:val="22"/>
          <w:u w:val="single"/>
        </w:rPr>
      </w:pPr>
    </w:p>
    <w:p w14:paraId="420D867D" w14:textId="77777777" w:rsidR="00B46495" w:rsidRPr="00602C28" w:rsidRDefault="00B46495">
      <w:pPr>
        <w:ind w:firstLine="720"/>
        <w:rPr>
          <w:rFonts w:ascii="Times New Roman"/>
          <w:sz w:val="22"/>
          <w:szCs w:val="22"/>
          <w:u w:val="single"/>
        </w:rPr>
      </w:pPr>
    </w:p>
    <w:p w14:paraId="1BED420E" w14:textId="77777777" w:rsidR="00B46495" w:rsidRPr="00602C28" w:rsidRDefault="00B46495">
      <w:pPr>
        <w:ind w:firstLine="720"/>
        <w:rPr>
          <w:rFonts w:ascii="Times New Roman"/>
          <w:sz w:val="22"/>
          <w:szCs w:val="22"/>
          <w:u w:val="single"/>
        </w:rPr>
      </w:pPr>
    </w:p>
    <w:p w14:paraId="780BC1FD" w14:textId="77777777" w:rsidR="00B46495" w:rsidRPr="00602C28" w:rsidRDefault="00B46495">
      <w:pPr>
        <w:ind w:firstLine="720"/>
        <w:rPr>
          <w:rFonts w:ascii="Times New Roman"/>
          <w:sz w:val="22"/>
          <w:szCs w:val="22"/>
          <w:u w:val="single"/>
        </w:rPr>
      </w:pPr>
    </w:p>
    <w:p w14:paraId="761DFBDF" w14:textId="77777777" w:rsidR="00B46495" w:rsidRPr="00602C28" w:rsidRDefault="00B46495">
      <w:pPr>
        <w:ind w:firstLine="720"/>
        <w:rPr>
          <w:rFonts w:ascii="Times New Roman"/>
          <w:sz w:val="22"/>
          <w:szCs w:val="22"/>
          <w:u w:val="single"/>
        </w:rPr>
      </w:pPr>
    </w:p>
    <w:p w14:paraId="775488AE" w14:textId="77777777" w:rsidR="00B46495" w:rsidRPr="00602C28" w:rsidRDefault="00B46495">
      <w:pPr>
        <w:ind w:firstLine="720"/>
        <w:rPr>
          <w:rFonts w:ascii="Times New Roman"/>
          <w:sz w:val="22"/>
          <w:szCs w:val="22"/>
          <w:u w:val="single"/>
        </w:rPr>
      </w:pPr>
    </w:p>
    <w:p w14:paraId="010C5FFE" w14:textId="77777777" w:rsidR="00B46495" w:rsidRPr="00602C28" w:rsidRDefault="00B46495">
      <w:pPr>
        <w:rPr>
          <w:rFonts w:ascii="Times New Roman"/>
          <w:sz w:val="22"/>
          <w:szCs w:val="22"/>
        </w:rPr>
      </w:pPr>
    </w:p>
    <w:sectPr w:rsidR="00B46495" w:rsidRPr="00602C28">
      <w:headerReference w:type="default" r:id="rId7"/>
      <w:pgSz w:w="12240" w:h="15840"/>
      <w:pgMar w:top="1440" w:right="1800" w:bottom="1440" w:left="1800" w:header="720" w:footer="720" w:gutter="0"/>
      <w:cols w:space="720"/>
    </w:sectPr>
  </w:body>
</w:document>
</file>

<file path=word/commentsExtended.xml><?xml version="1.0" encoding="utf-8"?>
<w15:commentsEx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15:commentEx w15:paraId="71C45FEE" w15:done="0"/>
  <w15:commentEx w15:paraId="287DE1E3" w15:done="0"/>
  <w15:commentEx w15:paraId="1E497A1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751DF" w14:textId="77777777" w:rsidR="00BC3B00" w:rsidRDefault="00BC3B00" w:rsidP="00BC3B00">
      <w:r>
        <w:separator/>
      </w:r>
    </w:p>
  </w:endnote>
  <w:endnote w:type="continuationSeparator" w:id="0">
    <w:p w14:paraId="2ED10333" w14:textId="77777777" w:rsidR="00BC3B00" w:rsidRDefault="00BC3B00" w:rsidP="00BC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E6BE2" w14:textId="77777777" w:rsidR="00BC3B00" w:rsidRDefault="00BC3B00" w:rsidP="00BC3B00">
      <w:r>
        <w:separator/>
      </w:r>
    </w:p>
  </w:footnote>
  <w:footnote w:type="continuationSeparator" w:id="0">
    <w:p w14:paraId="398226EF" w14:textId="77777777" w:rsidR="00BC3B00" w:rsidRDefault="00BC3B00" w:rsidP="00BC3B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07900" w14:textId="2D8AAA67" w:rsidR="00BC3B00" w:rsidRDefault="00BC3B00">
    <w:pPr>
      <w:pStyle w:val="Header"/>
    </w:pPr>
    <w:r>
      <w:rPr>
        <w:noProof/>
      </w:rPr>
      <mc:AlternateContent>
        <mc:Choice Requires="wps">
          <w:drawing>
            <wp:anchor distT="0" distB="0" distL="114300" distR="114300" simplePos="0" relativeHeight="251663360" behindDoc="1" locked="0" layoutInCell="1" allowOverlap="1" wp14:anchorId="713558B9" wp14:editId="401D3D73">
              <wp:simplePos x="0" y="0"/>
              <wp:positionH relativeFrom="page">
                <wp:posOffset>3177540</wp:posOffset>
              </wp:positionH>
              <wp:positionV relativeFrom="page">
                <wp:posOffset>356870</wp:posOffset>
              </wp:positionV>
              <wp:extent cx="708660" cy="328295"/>
              <wp:effectExtent l="0" t="0" r="254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99FCC" w14:textId="4D3EE782" w:rsidR="00BC3B00" w:rsidRDefault="00BC3B00" w:rsidP="00BC3B00">
                          <w:pPr>
                            <w:spacing w:before="10"/>
                            <w:ind w:left="20"/>
                          </w:pPr>
                          <w:r>
                            <w:rPr>
                              <w:sz w:val="22"/>
                            </w:rPr>
                            <w:t>XX/MA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7" type="#_x0000_t202" style="position:absolute;margin-left:250.2pt;margin-top:28.1pt;width:55.8pt;height:25.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" filled="f" stroked="f">
              <v:textbox inset="0,0,0,0">
                <w:txbxContent>
                  <w:p w14:paraId="60B99FCC" w14:textId="4D3EE782" w:rsidR="00BC3B00" w:rsidRDefault="00BC3B00" w:rsidP="00BC3B00">
                    <w:pPr>
                      <w:spacing w:before="10"/>
                      <w:ind w:left="20"/>
                    </w:pPr>
                    <w:r>
                      <w:rPr>
                        <w:sz w:val="22"/>
                      </w:rPr>
                      <w:t>XX/MA</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27761B8B" wp14:editId="728F2DEC">
              <wp:simplePos x="0" y="0"/>
              <wp:positionH relativeFrom="page">
                <wp:posOffset>5829301</wp:posOffset>
              </wp:positionH>
              <wp:positionV relativeFrom="page">
                <wp:posOffset>342900</wp:posOffset>
              </wp:positionV>
              <wp:extent cx="1041400" cy="194945"/>
              <wp:effectExtent l="0" t="0" r="0" b="82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37DBF" w14:textId="77777777" w:rsidR="00BC3B00" w:rsidRDefault="00BC3B00" w:rsidP="00BC3B00">
                          <w:pPr>
                            <w:spacing w:before="10"/>
                            <w:ind w:left="20"/>
                          </w:pPr>
                          <w:r>
                            <w:rPr>
                              <w:sz w:val="22"/>
                            </w:rPr>
                            <w:t>as introduced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459pt;margin-top:27pt;width:82pt;height:15.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" filled="f" stroked="f">
              <v:textbox inset="0,0,0,0">
                <w:txbxContent>
                  <w:p w14:paraId="41337DBF" w14:textId="77777777" w:rsidR="00BC3B00" w:rsidRDefault="00BC3B00" w:rsidP="00BC3B00">
                    <w:pPr>
                      <w:spacing w:before="10"/>
                      <w:ind w:left="20"/>
                    </w:pPr>
                    <w:r>
                      <w:rPr>
                        <w:sz w:val="22"/>
                      </w:rPr>
                      <w:t>as introduced</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58771AE0" wp14:editId="3BB7FA2D">
              <wp:simplePos x="0" y="0"/>
              <wp:positionH relativeFrom="page">
                <wp:posOffset>4800600</wp:posOffset>
              </wp:positionH>
              <wp:positionV relativeFrom="page">
                <wp:posOffset>342900</wp:posOffset>
              </wp:positionV>
              <wp:extent cx="962660" cy="194945"/>
              <wp:effectExtent l="0" t="0" r="2540" b="825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DFF80" w14:textId="3D0D0847" w:rsidR="00BC3B00" w:rsidRDefault="00BC3B00" w:rsidP="00BC3B00">
                          <w:pPr>
                            <w:spacing w:before="10"/>
                            <w:ind w:left="20"/>
                          </w:pPr>
                          <w:r>
                            <w:rPr>
                              <w:sz w:val="22"/>
                            </w:rPr>
                            <w:t>19-XXXX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378pt;margin-top:27pt;width:75.8pt;height:15.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" filled="f" stroked="f">
              <v:textbox inset="0,0,0,0">
                <w:txbxContent>
                  <w:p w14:paraId="0D5DFF80" w14:textId="3D0D0847" w:rsidR="00BC3B00" w:rsidRDefault="00BC3B00" w:rsidP="00BC3B00">
                    <w:pPr>
                      <w:spacing w:before="10"/>
                      <w:ind w:left="20"/>
                    </w:pPr>
                    <w:r>
                      <w:rPr>
                        <w:sz w:val="22"/>
                      </w:rPr>
                      <w:t>1</w:t>
                    </w:r>
                    <w:r>
                      <w:rPr>
                        <w:sz w:val="22"/>
                      </w:rPr>
                      <w:t>9-XXXX</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53364010" wp14:editId="63447802">
              <wp:simplePos x="0" y="0"/>
              <wp:positionH relativeFrom="page">
                <wp:posOffset>1988820</wp:posOffset>
              </wp:positionH>
              <wp:positionV relativeFrom="page">
                <wp:posOffset>357505</wp:posOffset>
              </wp:positionV>
              <wp:extent cx="623570" cy="180340"/>
              <wp:effectExtent l="0" t="1905" r="381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7F68C" w14:textId="77777777" w:rsidR="00BC3B00" w:rsidRDefault="00BC3B00" w:rsidP="00BC3B00">
                          <w:pPr>
                            <w:spacing w:before="10"/>
                            <w:ind w:left="20"/>
                          </w:pPr>
                          <w:r>
                            <w:rPr>
                              <w:sz w:val="22"/>
                            </w:rPr>
                            <w:t>REVISOR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156.6pt;margin-top:28.15pt;width:49.1pt;height:14.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" filled="f" stroked="f">
              <v:textbox inset="0,0,0,0">
                <w:txbxContent>
                  <w:p w14:paraId="5F97F68C" w14:textId="77777777" w:rsidR="00BC3B00" w:rsidRDefault="00BC3B00" w:rsidP="00BC3B00">
                    <w:pPr>
                      <w:spacing w:before="10"/>
                      <w:ind w:left="20"/>
                    </w:pPr>
                    <w:r>
                      <w:rPr>
                        <w:sz w:val="22"/>
                      </w:rPr>
                      <w:t>REVISOR</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1EBB31C5" wp14:editId="73E6BA5A">
              <wp:simplePos x="0" y="0"/>
              <wp:positionH relativeFrom="page">
                <wp:posOffset>901700</wp:posOffset>
              </wp:positionH>
              <wp:positionV relativeFrom="page">
                <wp:posOffset>357504</wp:posOffset>
              </wp:positionV>
              <wp:extent cx="927100" cy="213995"/>
              <wp:effectExtent l="0" t="0" r="12700" b="146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3A09C" w14:textId="578122FE" w:rsidR="00BC3B00" w:rsidRDefault="00BC3B00" w:rsidP="00BC3B00">
                          <w:pPr>
                            <w:spacing w:before="10"/>
                            <w:ind w:left="20"/>
                          </w:pPr>
                          <w:r>
                            <w:rPr>
                              <w:sz w:val="22"/>
                            </w:rPr>
                            <w:t>XX/XX/19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71pt;margin-top:28.15pt;width:73pt;height:16.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" filled="f" stroked="f">
              <v:textbox inset="0,0,0,0">
                <w:txbxContent>
                  <w:p w14:paraId="44F3A09C" w14:textId="578122FE" w:rsidR="00BC3B00" w:rsidRDefault="00BC3B00" w:rsidP="00BC3B00">
                    <w:pPr>
                      <w:spacing w:before="10"/>
                      <w:ind w:left="20"/>
                    </w:pPr>
                    <w:r>
                      <w:rPr>
                        <w:sz w:val="22"/>
                      </w:rPr>
                      <w:t>XX/XX</w:t>
                    </w:r>
                    <w:r>
                      <w:rPr>
                        <w:sz w:val="22"/>
                      </w:rPr>
                      <w:t>/1</w:t>
                    </w:r>
                    <w:r>
                      <w:rPr>
                        <w:sz w:val="22"/>
                      </w:rPr>
                      <w:t>9</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86F"/>
    <w:rsid w:val="00032C0E"/>
    <w:rsid w:val="0006587F"/>
    <w:rsid w:val="0009493F"/>
    <w:rsid w:val="000D487A"/>
    <w:rsid w:val="000E5FA0"/>
    <w:rsid w:val="000E6537"/>
    <w:rsid w:val="000E76F9"/>
    <w:rsid w:val="000F77FB"/>
    <w:rsid w:val="001025A8"/>
    <w:rsid w:val="0011008D"/>
    <w:rsid w:val="001175CC"/>
    <w:rsid w:val="001540E2"/>
    <w:rsid w:val="00160ACA"/>
    <w:rsid w:val="001B64B1"/>
    <w:rsid w:val="001E77A2"/>
    <w:rsid w:val="001F7C14"/>
    <w:rsid w:val="00202113"/>
    <w:rsid w:val="002062E8"/>
    <w:rsid w:val="002266A7"/>
    <w:rsid w:val="00260AE2"/>
    <w:rsid w:val="00270318"/>
    <w:rsid w:val="002843C2"/>
    <w:rsid w:val="002B4C85"/>
    <w:rsid w:val="002B786F"/>
    <w:rsid w:val="002C3E50"/>
    <w:rsid w:val="00326C80"/>
    <w:rsid w:val="003419AF"/>
    <w:rsid w:val="0036284E"/>
    <w:rsid w:val="003C4E3D"/>
    <w:rsid w:val="003D53AE"/>
    <w:rsid w:val="00401F9A"/>
    <w:rsid w:val="00405626"/>
    <w:rsid w:val="0041586D"/>
    <w:rsid w:val="00423D2D"/>
    <w:rsid w:val="00442CD1"/>
    <w:rsid w:val="00453282"/>
    <w:rsid w:val="00461903"/>
    <w:rsid w:val="004630DC"/>
    <w:rsid w:val="004D1532"/>
    <w:rsid w:val="00534CDF"/>
    <w:rsid w:val="00551994"/>
    <w:rsid w:val="005D5466"/>
    <w:rsid w:val="00602C28"/>
    <w:rsid w:val="0063729B"/>
    <w:rsid w:val="006C1504"/>
    <w:rsid w:val="006F1292"/>
    <w:rsid w:val="00721DBF"/>
    <w:rsid w:val="00755513"/>
    <w:rsid w:val="0078406A"/>
    <w:rsid w:val="007A3945"/>
    <w:rsid w:val="007A7004"/>
    <w:rsid w:val="007D2FCA"/>
    <w:rsid w:val="00802A10"/>
    <w:rsid w:val="008379C3"/>
    <w:rsid w:val="008647F0"/>
    <w:rsid w:val="008E0174"/>
    <w:rsid w:val="00910EA2"/>
    <w:rsid w:val="009D17D5"/>
    <w:rsid w:val="00A52971"/>
    <w:rsid w:val="00A551CC"/>
    <w:rsid w:val="00B17C35"/>
    <w:rsid w:val="00B41B06"/>
    <w:rsid w:val="00B448C9"/>
    <w:rsid w:val="00B46495"/>
    <w:rsid w:val="00BB1FFE"/>
    <w:rsid w:val="00BC3B00"/>
    <w:rsid w:val="00BC6D9F"/>
    <w:rsid w:val="00BF4037"/>
    <w:rsid w:val="00C15B7F"/>
    <w:rsid w:val="00C226AF"/>
    <w:rsid w:val="00C22D46"/>
    <w:rsid w:val="00C60780"/>
    <w:rsid w:val="00C70952"/>
    <w:rsid w:val="00C83798"/>
    <w:rsid w:val="00C84920"/>
    <w:rsid w:val="00CA01E2"/>
    <w:rsid w:val="00CA0E92"/>
    <w:rsid w:val="00D152B7"/>
    <w:rsid w:val="00D23301"/>
    <w:rsid w:val="00D25F8B"/>
    <w:rsid w:val="00D36043"/>
    <w:rsid w:val="00D50C8A"/>
    <w:rsid w:val="00DA2212"/>
    <w:rsid w:val="00DE4976"/>
    <w:rsid w:val="00E25E48"/>
    <w:rsid w:val="00E94C73"/>
    <w:rsid w:val="00EC4C8C"/>
    <w:rsid w:val="00F120ED"/>
    <w:rsid w:val="00F15B06"/>
    <w:rsid w:val="00F52C11"/>
    <w:rsid w:val="00F56C90"/>
    <w:rsid w:val="00F61779"/>
    <w:rsid w:val="00F72B49"/>
    <w:rsid w:val="00F93ECC"/>
    <w:rsid w:val="00FA254A"/>
    <w:rsid w:val="00FE2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BAAE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497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rPr>
      <w:sz w:val="18"/>
      <w:szCs w:val="18"/>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paragraph" w:styleId="CommentSubject">
    <w:name w:val="annotation subject"/>
    <w:basedOn w:val="CommentText"/>
    <w:link w:val="CommentSubjectChar"/>
    <w:uiPriority w:val="99"/>
    <w:rPr>
      <w:b/>
      <w:sz w:val="20"/>
      <w:szCs w:val="20"/>
    </w:rPr>
  </w:style>
  <w:style w:type="character" w:customStyle="1" w:styleId="CommentSubjectChar">
    <w:name w:val="Comment Subject Char"/>
    <w:basedOn w:val="CommentTextChar"/>
    <w:link w:val="CommentSubject"/>
    <w:uiPriority w:val="99"/>
    <w:rPr>
      <w:b/>
      <w:sz w:val="20"/>
      <w:szCs w:val="20"/>
    </w:rPr>
  </w:style>
  <w:style w:type="character" w:customStyle="1" w:styleId="Heading1Char">
    <w:name w:val="Heading 1 Char"/>
    <w:basedOn w:val="DefaultParagraphFont"/>
    <w:link w:val="Heading1"/>
    <w:uiPriority w:val="9"/>
    <w:rsid w:val="00DE4976"/>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BC3B00"/>
    <w:pPr>
      <w:tabs>
        <w:tab w:val="center" w:pos="4320"/>
        <w:tab w:val="right" w:pos="8640"/>
      </w:tabs>
    </w:pPr>
  </w:style>
  <w:style w:type="character" w:customStyle="1" w:styleId="HeaderChar">
    <w:name w:val="Header Char"/>
    <w:basedOn w:val="DefaultParagraphFont"/>
    <w:link w:val="Header"/>
    <w:uiPriority w:val="99"/>
    <w:rsid w:val="00BC3B00"/>
  </w:style>
  <w:style w:type="paragraph" w:styleId="Footer">
    <w:name w:val="footer"/>
    <w:basedOn w:val="Normal"/>
    <w:link w:val="FooterChar"/>
    <w:uiPriority w:val="99"/>
    <w:unhideWhenUsed/>
    <w:rsid w:val="00BC3B00"/>
    <w:pPr>
      <w:tabs>
        <w:tab w:val="center" w:pos="4320"/>
        <w:tab w:val="right" w:pos="8640"/>
      </w:tabs>
    </w:pPr>
  </w:style>
  <w:style w:type="character" w:customStyle="1" w:styleId="FooterChar">
    <w:name w:val="Footer Char"/>
    <w:basedOn w:val="DefaultParagraphFont"/>
    <w:link w:val="Footer"/>
    <w:uiPriority w:val="99"/>
    <w:rsid w:val="00BC3B0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497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rPr>
      <w:sz w:val="18"/>
      <w:szCs w:val="18"/>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paragraph" w:styleId="CommentSubject">
    <w:name w:val="annotation subject"/>
    <w:basedOn w:val="CommentText"/>
    <w:link w:val="CommentSubjectChar"/>
    <w:uiPriority w:val="99"/>
    <w:rPr>
      <w:b/>
      <w:sz w:val="20"/>
      <w:szCs w:val="20"/>
    </w:rPr>
  </w:style>
  <w:style w:type="character" w:customStyle="1" w:styleId="CommentSubjectChar">
    <w:name w:val="Comment Subject Char"/>
    <w:basedOn w:val="CommentTextChar"/>
    <w:link w:val="CommentSubject"/>
    <w:uiPriority w:val="99"/>
    <w:rPr>
      <w:b/>
      <w:sz w:val="20"/>
      <w:szCs w:val="20"/>
    </w:rPr>
  </w:style>
  <w:style w:type="character" w:customStyle="1" w:styleId="Heading1Char">
    <w:name w:val="Heading 1 Char"/>
    <w:basedOn w:val="DefaultParagraphFont"/>
    <w:link w:val="Heading1"/>
    <w:uiPriority w:val="9"/>
    <w:rsid w:val="00DE4976"/>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BC3B00"/>
    <w:pPr>
      <w:tabs>
        <w:tab w:val="center" w:pos="4320"/>
        <w:tab w:val="right" w:pos="8640"/>
      </w:tabs>
    </w:pPr>
  </w:style>
  <w:style w:type="character" w:customStyle="1" w:styleId="HeaderChar">
    <w:name w:val="Header Char"/>
    <w:basedOn w:val="DefaultParagraphFont"/>
    <w:link w:val="Header"/>
    <w:uiPriority w:val="99"/>
    <w:rsid w:val="00BC3B00"/>
  </w:style>
  <w:style w:type="paragraph" w:styleId="Footer">
    <w:name w:val="footer"/>
    <w:basedOn w:val="Normal"/>
    <w:link w:val="FooterChar"/>
    <w:uiPriority w:val="99"/>
    <w:unhideWhenUsed/>
    <w:rsid w:val="00BC3B00"/>
    <w:pPr>
      <w:tabs>
        <w:tab w:val="center" w:pos="4320"/>
        <w:tab w:val="right" w:pos="8640"/>
      </w:tabs>
    </w:pPr>
  </w:style>
  <w:style w:type="character" w:customStyle="1" w:styleId="FooterChar">
    <w:name w:val="Footer Char"/>
    <w:basedOn w:val="DefaultParagraphFont"/>
    <w:link w:val="Footer"/>
    <w:uiPriority w:val="99"/>
    <w:rsid w:val="00BC3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14081">
      <w:bodyDiv w:val="1"/>
      <w:marLeft w:val="0"/>
      <w:marRight w:val="0"/>
      <w:marTop w:val="0"/>
      <w:marBottom w:val="0"/>
      <w:divBdr>
        <w:top w:val="none" w:sz="0" w:space="0" w:color="auto"/>
        <w:left w:val="none" w:sz="0" w:space="0" w:color="auto"/>
        <w:bottom w:val="none" w:sz="0" w:space="0" w:color="auto"/>
        <w:right w:val="none" w:sz="0" w:space="0" w:color="auto"/>
      </w:divBdr>
      <w:divsChild>
        <w:div w:id="211969664">
          <w:marLeft w:val="0"/>
          <w:marRight w:val="0"/>
          <w:marTop w:val="48"/>
          <w:marBottom w:val="0"/>
          <w:divBdr>
            <w:top w:val="none" w:sz="0" w:space="0" w:color="auto"/>
            <w:left w:val="none" w:sz="0" w:space="0" w:color="auto"/>
            <w:bottom w:val="none" w:sz="0" w:space="0" w:color="auto"/>
            <w:right w:val="none" w:sz="0" w:space="0" w:color="auto"/>
          </w:divBdr>
        </w:div>
        <w:div w:id="1866868230">
          <w:marLeft w:val="0"/>
          <w:marRight w:val="0"/>
          <w:marTop w:val="48"/>
          <w:marBottom w:val="0"/>
          <w:divBdr>
            <w:top w:val="none" w:sz="0" w:space="0" w:color="auto"/>
            <w:left w:val="none" w:sz="0" w:space="0" w:color="auto"/>
            <w:bottom w:val="none" w:sz="0" w:space="0" w:color="auto"/>
            <w:right w:val="none" w:sz="0" w:space="0" w:color="auto"/>
          </w:divBdr>
        </w:div>
        <w:div w:id="1254824824">
          <w:marLeft w:val="0"/>
          <w:marRight w:val="0"/>
          <w:marTop w:val="48"/>
          <w:marBottom w:val="0"/>
          <w:divBdr>
            <w:top w:val="none" w:sz="0" w:space="0" w:color="auto"/>
            <w:left w:val="none" w:sz="0" w:space="0" w:color="auto"/>
            <w:bottom w:val="none" w:sz="0" w:space="0" w:color="auto"/>
            <w:right w:val="none" w:sz="0" w:space="0" w:color="auto"/>
          </w:divBdr>
        </w:div>
        <w:div w:id="1424567151">
          <w:marLeft w:val="0"/>
          <w:marRight w:val="0"/>
          <w:marTop w:val="48"/>
          <w:marBottom w:val="0"/>
          <w:divBdr>
            <w:top w:val="none" w:sz="0" w:space="0" w:color="auto"/>
            <w:left w:val="none" w:sz="0" w:space="0" w:color="auto"/>
            <w:bottom w:val="none" w:sz="0" w:space="0" w:color="auto"/>
            <w:right w:val="none" w:sz="0" w:space="0" w:color="auto"/>
          </w:divBdr>
        </w:div>
        <w:div w:id="1233734368">
          <w:marLeft w:val="0"/>
          <w:marRight w:val="0"/>
          <w:marTop w:val="48"/>
          <w:marBottom w:val="0"/>
          <w:divBdr>
            <w:top w:val="none" w:sz="0" w:space="0" w:color="auto"/>
            <w:left w:val="none" w:sz="0" w:space="0" w:color="auto"/>
            <w:bottom w:val="none" w:sz="0" w:space="0" w:color="auto"/>
            <w:right w:val="none" w:sz="0" w:space="0" w:color="auto"/>
          </w:divBdr>
        </w:div>
        <w:div w:id="570962550">
          <w:marLeft w:val="0"/>
          <w:marRight w:val="0"/>
          <w:marTop w:val="48"/>
          <w:marBottom w:val="0"/>
          <w:divBdr>
            <w:top w:val="none" w:sz="0" w:space="0" w:color="auto"/>
            <w:left w:val="none" w:sz="0" w:space="0" w:color="auto"/>
            <w:bottom w:val="none" w:sz="0" w:space="0" w:color="auto"/>
            <w:right w:val="none" w:sz="0" w:space="0" w:color="auto"/>
          </w:divBdr>
        </w:div>
        <w:div w:id="2021812961">
          <w:marLeft w:val="0"/>
          <w:marRight w:val="0"/>
          <w:marTop w:val="48"/>
          <w:marBottom w:val="0"/>
          <w:divBdr>
            <w:top w:val="none" w:sz="0" w:space="0" w:color="auto"/>
            <w:left w:val="none" w:sz="0" w:space="0" w:color="auto"/>
            <w:bottom w:val="none" w:sz="0" w:space="0" w:color="auto"/>
            <w:right w:val="none" w:sz="0" w:space="0" w:color="auto"/>
          </w:divBdr>
        </w:div>
        <w:div w:id="1642493993">
          <w:marLeft w:val="0"/>
          <w:marRight w:val="0"/>
          <w:marTop w:val="48"/>
          <w:marBottom w:val="0"/>
          <w:divBdr>
            <w:top w:val="none" w:sz="0" w:space="0" w:color="auto"/>
            <w:left w:val="none" w:sz="0" w:space="0" w:color="auto"/>
            <w:bottom w:val="none" w:sz="0" w:space="0" w:color="auto"/>
            <w:right w:val="none" w:sz="0" w:space="0" w:color="auto"/>
          </w:divBdr>
        </w:div>
        <w:div w:id="1699546407">
          <w:marLeft w:val="0"/>
          <w:marRight w:val="0"/>
          <w:marTop w:val="48"/>
          <w:marBottom w:val="0"/>
          <w:divBdr>
            <w:top w:val="none" w:sz="0" w:space="0" w:color="auto"/>
            <w:left w:val="none" w:sz="0" w:space="0" w:color="auto"/>
            <w:bottom w:val="none" w:sz="0" w:space="0" w:color="auto"/>
            <w:right w:val="none" w:sz="0" w:space="0" w:color="auto"/>
          </w:divBdr>
        </w:div>
        <w:div w:id="784227115">
          <w:marLeft w:val="0"/>
          <w:marRight w:val="0"/>
          <w:marTop w:val="48"/>
          <w:marBottom w:val="0"/>
          <w:divBdr>
            <w:top w:val="none" w:sz="0" w:space="0" w:color="auto"/>
            <w:left w:val="none" w:sz="0" w:space="0" w:color="auto"/>
            <w:bottom w:val="none" w:sz="0" w:space="0" w:color="auto"/>
            <w:right w:val="none" w:sz="0" w:space="0" w:color="auto"/>
          </w:divBdr>
        </w:div>
        <w:div w:id="458494154">
          <w:marLeft w:val="0"/>
          <w:marRight w:val="0"/>
          <w:marTop w:val="48"/>
          <w:marBottom w:val="0"/>
          <w:divBdr>
            <w:top w:val="none" w:sz="0" w:space="0" w:color="auto"/>
            <w:left w:val="none" w:sz="0" w:space="0" w:color="auto"/>
            <w:bottom w:val="none" w:sz="0" w:space="0" w:color="auto"/>
            <w:right w:val="none" w:sz="0" w:space="0" w:color="auto"/>
          </w:divBdr>
        </w:div>
        <w:div w:id="262763963">
          <w:marLeft w:val="0"/>
          <w:marRight w:val="0"/>
          <w:marTop w:val="48"/>
          <w:marBottom w:val="0"/>
          <w:divBdr>
            <w:top w:val="none" w:sz="0" w:space="0" w:color="auto"/>
            <w:left w:val="none" w:sz="0" w:space="0" w:color="auto"/>
            <w:bottom w:val="none" w:sz="0" w:space="0" w:color="auto"/>
            <w:right w:val="none" w:sz="0" w:space="0" w:color="auto"/>
          </w:divBdr>
        </w:div>
        <w:div w:id="522478986">
          <w:marLeft w:val="0"/>
          <w:marRight w:val="0"/>
          <w:marTop w:val="48"/>
          <w:marBottom w:val="0"/>
          <w:divBdr>
            <w:top w:val="none" w:sz="0" w:space="0" w:color="auto"/>
            <w:left w:val="none" w:sz="0" w:space="0" w:color="auto"/>
            <w:bottom w:val="none" w:sz="0" w:space="0" w:color="auto"/>
            <w:right w:val="none" w:sz="0" w:space="0" w:color="auto"/>
          </w:divBdr>
        </w:div>
        <w:div w:id="201211451">
          <w:marLeft w:val="0"/>
          <w:marRight w:val="0"/>
          <w:marTop w:val="48"/>
          <w:marBottom w:val="0"/>
          <w:divBdr>
            <w:top w:val="none" w:sz="0" w:space="0" w:color="auto"/>
            <w:left w:val="none" w:sz="0" w:space="0" w:color="auto"/>
            <w:bottom w:val="none" w:sz="0" w:space="0" w:color="auto"/>
            <w:right w:val="none" w:sz="0" w:space="0" w:color="auto"/>
          </w:divBdr>
        </w:div>
        <w:div w:id="1718627169">
          <w:marLeft w:val="0"/>
          <w:marRight w:val="0"/>
          <w:marTop w:val="48"/>
          <w:marBottom w:val="0"/>
          <w:divBdr>
            <w:top w:val="none" w:sz="0" w:space="0" w:color="auto"/>
            <w:left w:val="none" w:sz="0" w:space="0" w:color="auto"/>
            <w:bottom w:val="none" w:sz="0" w:space="0" w:color="auto"/>
            <w:right w:val="none" w:sz="0" w:space="0" w:color="auto"/>
          </w:divBdr>
        </w:div>
        <w:div w:id="802581982">
          <w:marLeft w:val="0"/>
          <w:marRight w:val="0"/>
          <w:marTop w:val="48"/>
          <w:marBottom w:val="0"/>
          <w:divBdr>
            <w:top w:val="none" w:sz="0" w:space="0" w:color="auto"/>
            <w:left w:val="none" w:sz="0" w:space="0" w:color="auto"/>
            <w:bottom w:val="none" w:sz="0" w:space="0" w:color="auto"/>
            <w:right w:val="none" w:sz="0" w:space="0" w:color="auto"/>
          </w:divBdr>
        </w:div>
        <w:div w:id="2103183484">
          <w:marLeft w:val="0"/>
          <w:marRight w:val="0"/>
          <w:marTop w:val="48"/>
          <w:marBottom w:val="0"/>
          <w:divBdr>
            <w:top w:val="none" w:sz="0" w:space="0" w:color="auto"/>
            <w:left w:val="none" w:sz="0" w:space="0" w:color="auto"/>
            <w:bottom w:val="none" w:sz="0" w:space="0" w:color="auto"/>
            <w:right w:val="none" w:sz="0" w:space="0" w:color="auto"/>
          </w:divBdr>
        </w:div>
      </w:divsChild>
    </w:div>
    <w:div w:id="526023544">
      <w:bodyDiv w:val="1"/>
      <w:marLeft w:val="0"/>
      <w:marRight w:val="0"/>
      <w:marTop w:val="0"/>
      <w:marBottom w:val="0"/>
      <w:divBdr>
        <w:top w:val="none" w:sz="0" w:space="0" w:color="auto"/>
        <w:left w:val="none" w:sz="0" w:space="0" w:color="auto"/>
        <w:bottom w:val="none" w:sz="0" w:space="0" w:color="auto"/>
        <w:right w:val="none" w:sz="0" w:space="0" w:color="auto"/>
      </w:divBdr>
    </w:div>
    <w:div w:id="527373389">
      <w:bodyDiv w:val="1"/>
      <w:marLeft w:val="0"/>
      <w:marRight w:val="0"/>
      <w:marTop w:val="0"/>
      <w:marBottom w:val="0"/>
      <w:divBdr>
        <w:top w:val="none" w:sz="0" w:space="0" w:color="auto"/>
        <w:left w:val="none" w:sz="0" w:space="0" w:color="auto"/>
        <w:bottom w:val="none" w:sz="0" w:space="0" w:color="auto"/>
        <w:right w:val="none" w:sz="0" w:space="0" w:color="auto"/>
      </w:divBdr>
    </w:div>
    <w:div w:id="532154346">
      <w:bodyDiv w:val="1"/>
      <w:marLeft w:val="0"/>
      <w:marRight w:val="0"/>
      <w:marTop w:val="0"/>
      <w:marBottom w:val="0"/>
      <w:divBdr>
        <w:top w:val="none" w:sz="0" w:space="0" w:color="auto"/>
        <w:left w:val="none" w:sz="0" w:space="0" w:color="auto"/>
        <w:bottom w:val="none" w:sz="0" w:space="0" w:color="auto"/>
        <w:right w:val="none" w:sz="0" w:space="0" w:color="auto"/>
      </w:divBdr>
    </w:div>
    <w:div w:id="666710527">
      <w:bodyDiv w:val="1"/>
      <w:marLeft w:val="0"/>
      <w:marRight w:val="0"/>
      <w:marTop w:val="0"/>
      <w:marBottom w:val="0"/>
      <w:divBdr>
        <w:top w:val="none" w:sz="0" w:space="0" w:color="auto"/>
        <w:left w:val="none" w:sz="0" w:space="0" w:color="auto"/>
        <w:bottom w:val="none" w:sz="0" w:space="0" w:color="auto"/>
        <w:right w:val="none" w:sz="0" w:space="0" w:color="auto"/>
      </w:divBdr>
    </w:div>
    <w:div w:id="719477167">
      <w:bodyDiv w:val="1"/>
      <w:marLeft w:val="0"/>
      <w:marRight w:val="0"/>
      <w:marTop w:val="0"/>
      <w:marBottom w:val="0"/>
      <w:divBdr>
        <w:top w:val="none" w:sz="0" w:space="0" w:color="auto"/>
        <w:left w:val="none" w:sz="0" w:space="0" w:color="auto"/>
        <w:bottom w:val="none" w:sz="0" w:space="0" w:color="auto"/>
        <w:right w:val="none" w:sz="0" w:space="0" w:color="auto"/>
      </w:divBdr>
    </w:div>
    <w:div w:id="1322614524">
      <w:bodyDiv w:val="1"/>
      <w:marLeft w:val="0"/>
      <w:marRight w:val="0"/>
      <w:marTop w:val="0"/>
      <w:marBottom w:val="0"/>
      <w:divBdr>
        <w:top w:val="none" w:sz="0" w:space="0" w:color="auto"/>
        <w:left w:val="none" w:sz="0" w:space="0" w:color="auto"/>
        <w:bottom w:val="none" w:sz="0" w:space="0" w:color="auto"/>
        <w:right w:val="none" w:sz="0" w:space="0" w:color="auto"/>
      </w:divBdr>
    </w:div>
    <w:div w:id="1382286581">
      <w:bodyDiv w:val="1"/>
      <w:marLeft w:val="0"/>
      <w:marRight w:val="0"/>
      <w:marTop w:val="0"/>
      <w:marBottom w:val="0"/>
      <w:divBdr>
        <w:top w:val="none" w:sz="0" w:space="0" w:color="auto"/>
        <w:left w:val="none" w:sz="0" w:space="0" w:color="auto"/>
        <w:bottom w:val="none" w:sz="0" w:space="0" w:color="auto"/>
        <w:right w:val="none" w:sz="0" w:space="0" w:color="auto"/>
      </w:divBdr>
    </w:div>
    <w:div w:id="1654022681">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1206</Words>
  <Characters>6781</Characters>
  <Application>Microsoft Macintosh Word</Application>
  <DocSecurity>0</DocSecurity>
  <Lines>147</Lines>
  <Paragraphs>52</Paragraphs>
  <ScaleCrop>false</ScaleCrop>
  <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30</cp:revision>
  <dcterms:created xsi:type="dcterms:W3CDTF">2018-08-21T20:08:00Z</dcterms:created>
  <dcterms:modified xsi:type="dcterms:W3CDTF">2018-09-03T16:54:00Z</dcterms:modified>
</cp:coreProperties>
</file>