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FE03E" w14:textId="77777777" w:rsidR="00E16975" w:rsidRDefault="00E16975" w:rsidP="00E16975">
      <w:pPr>
        <w:rPr>
          <w:rFonts w:ascii="Times" w:eastAsia="Times New Roman" w:hAnsi="Times" w:cs="Times New Roman"/>
          <w:sz w:val="20"/>
          <w:szCs w:val="20"/>
        </w:rPr>
      </w:pPr>
    </w:p>
    <w:p w14:paraId="41AA8C61" w14:textId="77777777" w:rsidR="00E16975" w:rsidRDefault="00E16975" w:rsidP="00E16975">
      <w:pPr>
        <w:rPr>
          <w:rFonts w:ascii="Times" w:eastAsia="Times New Roman" w:hAnsi="Times" w:cs="Times New Roman"/>
          <w:sz w:val="20"/>
          <w:szCs w:val="20"/>
        </w:rPr>
      </w:pPr>
    </w:p>
    <w:p w14:paraId="46D8479E" w14:textId="77777777" w:rsidR="00E16975" w:rsidRPr="005005AF" w:rsidRDefault="00E16975" w:rsidP="005005AF">
      <w:pPr>
        <w:jc w:val="center"/>
        <w:rPr>
          <w:rFonts w:ascii="Times" w:eastAsia="Times New Roman" w:hAnsi="Times" w:cs="Times New Roman"/>
          <w:b/>
          <w:sz w:val="48"/>
          <w:szCs w:val="48"/>
        </w:rPr>
      </w:pPr>
      <w:r w:rsidRPr="00E16975">
        <w:rPr>
          <w:rFonts w:ascii="Times" w:eastAsia="Times New Roman" w:hAnsi="Times" w:cs="Times New Roman"/>
          <w:b/>
          <w:sz w:val="48"/>
          <w:szCs w:val="48"/>
        </w:rPr>
        <w:t xml:space="preserve">HOUSE BILL No. </w:t>
      </w:r>
      <w:r w:rsidR="005005AF">
        <w:rPr>
          <w:rFonts w:ascii="Times" w:eastAsia="Times New Roman" w:hAnsi="Times" w:cs="Times New Roman"/>
          <w:b/>
          <w:sz w:val="48"/>
          <w:szCs w:val="48"/>
        </w:rPr>
        <w:t>XXXX</w:t>
      </w:r>
    </w:p>
    <w:p w14:paraId="72406531" w14:textId="77777777" w:rsidR="00E16975" w:rsidRDefault="00E16975" w:rsidP="00E16975">
      <w:pPr>
        <w:rPr>
          <w:rFonts w:ascii="Times" w:eastAsia="Times New Roman" w:hAnsi="Times" w:cs="Times New Roman"/>
          <w:sz w:val="20"/>
          <w:szCs w:val="20"/>
        </w:rPr>
      </w:pPr>
    </w:p>
    <w:p w14:paraId="2B76FF1D" w14:textId="77777777" w:rsidR="00E16975" w:rsidRPr="00D6647A" w:rsidRDefault="00E16975" w:rsidP="00E16975">
      <w:pPr>
        <w:rPr>
          <w:rFonts w:ascii="Times New Roman" w:eastAsia="Times New Roman" w:hAnsi="Times New Roman" w:cs="Times New Roman"/>
          <w:sz w:val="20"/>
          <w:szCs w:val="20"/>
        </w:rPr>
      </w:pPr>
      <w:r w:rsidRPr="00D6647A">
        <w:rPr>
          <w:rFonts w:ascii="Times New Roman" w:eastAsia="Times New Roman" w:hAnsi="Times New Roman" w:cs="Times New Roman"/>
          <w:sz w:val="20"/>
          <w:szCs w:val="20"/>
        </w:rPr>
        <w:t>January 19, 2019, Introduced by Reps. _______, _________, ________, ________ and referred to the Committee on Health Policy</w:t>
      </w:r>
      <w:r w:rsidR="005005AF" w:rsidRPr="00D6647A">
        <w:rPr>
          <w:rFonts w:ascii="Times New Roman" w:eastAsia="Times New Roman" w:hAnsi="Times New Roman" w:cs="Times New Roman"/>
          <w:sz w:val="20"/>
          <w:szCs w:val="20"/>
        </w:rPr>
        <w:t>.</w:t>
      </w:r>
    </w:p>
    <w:p w14:paraId="0F25CE2F" w14:textId="77777777" w:rsidR="005005AF" w:rsidRDefault="005005AF" w:rsidP="005005AF">
      <w:pPr>
        <w:rPr>
          <w:rFonts w:ascii="Times" w:eastAsia="Times New Roman" w:hAnsi="Times" w:cs="Times New Roman"/>
          <w:sz w:val="20"/>
          <w:szCs w:val="20"/>
        </w:rPr>
      </w:pPr>
    </w:p>
    <w:p w14:paraId="3863A1F7" w14:textId="77777777" w:rsidR="005005AF" w:rsidRPr="00D51289" w:rsidRDefault="005005AF" w:rsidP="005005AF">
      <w:pPr>
        <w:ind w:firstLine="720"/>
        <w:rPr>
          <w:rFonts w:ascii="Courier New" w:eastAsia="Times New Roman" w:hAnsi="Courier New" w:cs="Courier New"/>
          <w:sz w:val="22"/>
          <w:szCs w:val="22"/>
        </w:rPr>
      </w:pPr>
      <w:r w:rsidRPr="00D51289">
        <w:rPr>
          <w:rFonts w:ascii="Courier New" w:eastAsia="Times New Roman" w:hAnsi="Courier New" w:cs="Courier New"/>
          <w:sz w:val="22"/>
          <w:szCs w:val="22"/>
        </w:rPr>
        <w:t xml:space="preserve">A bill to amend 1956 PA 218, entitled </w:t>
      </w:r>
    </w:p>
    <w:p w14:paraId="61493FBE" w14:textId="77777777" w:rsidR="005005AF" w:rsidRPr="00D51289" w:rsidRDefault="005005AF" w:rsidP="005005AF">
      <w:pPr>
        <w:rPr>
          <w:rFonts w:ascii="Courier New" w:eastAsia="Times New Roman" w:hAnsi="Courier New" w:cs="Courier New"/>
          <w:sz w:val="22"/>
          <w:szCs w:val="22"/>
        </w:rPr>
      </w:pPr>
      <w:r w:rsidRPr="00D51289">
        <w:rPr>
          <w:rFonts w:ascii="Courier New" w:eastAsia="Times New Roman" w:hAnsi="Courier New" w:cs="Courier New"/>
          <w:sz w:val="22"/>
          <w:szCs w:val="22"/>
        </w:rPr>
        <w:t xml:space="preserve">"The insurance code of 1956," </w:t>
      </w:r>
    </w:p>
    <w:p w14:paraId="521F5302" w14:textId="77777777" w:rsidR="005005AF" w:rsidRPr="00D51289" w:rsidRDefault="005005AF" w:rsidP="005005AF">
      <w:pPr>
        <w:rPr>
          <w:rFonts w:ascii="Courier New" w:eastAsia="Times New Roman" w:hAnsi="Courier New" w:cs="Courier New"/>
          <w:sz w:val="22"/>
          <w:szCs w:val="22"/>
        </w:rPr>
      </w:pPr>
      <w:r w:rsidRPr="00D51289">
        <w:rPr>
          <w:rFonts w:ascii="Courier New" w:eastAsia="Times New Roman" w:hAnsi="Courier New" w:cs="Courier New"/>
          <w:sz w:val="22"/>
          <w:szCs w:val="22"/>
        </w:rPr>
        <w:t xml:space="preserve">(MCL 500.100 to 500.8302) </w:t>
      </w:r>
      <w:proofErr w:type="gramStart"/>
      <w:r w:rsidRPr="00D51289">
        <w:rPr>
          <w:rFonts w:ascii="Courier New" w:eastAsia="Times New Roman" w:hAnsi="Courier New" w:cs="Courier New"/>
          <w:sz w:val="22"/>
          <w:szCs w:val="22"/>
        </w:rPr>
        <w:t>by adding section 3406u.</w:t>
      </w:r>
      <w:proofErr w:type="gramEnd"/>
    </w:p>
    <w:p w14:paraId="16C05EA7" w14:textId="77777777" w:rsidR="005005AF" w:rsidRPr="00D51289" w:rsidRDefault="005005AF" w:rsidP="005005AF">
      <w:pPr>
        <w:rPr>
          <w:rFonts w:ascii="Courier New" w:eastAsia="Times New Roman" w:hAnsi="Courier New" w:cs="Courier New"/>
          <w:sz w:val="22"/>
          <w:szCs w:val="22"/>
        </w:rPr>
      </w:pPr>
    </w:p>
    <w:p w14:paraId="6CFBE7DC" w14:textId="77777777" w:rsidR="005005AF" w:rsidRPr="00D51289" w:rsidRDefault="005005AF" w:rsidP="005005AF">
      <w:pPr>
        <w:jc w:val="center"/>
        <w:rPr>
          <w:rFonts w:ascii="Courier New" w:eastAsia="Times New Roman" w:hAnsi="Courier New" w:cs="Courier New"/>
          <w:b/>
          <w:sz w:val="22"/>
          <w:szCs w:val="22"/>
        </w:rPr>
      </w:pPr>
      <w:r w:rsidRPr="00D51289">
        <w:rPr>
          <w:rFonts w:ascii="Courier New" w:eastAsia="Times New Roman" w:hAnsi="Courier New" w:cs="Courier New"/>
          <w:b/>
          <w:sz w:val="22"/>
          <w:szCs w:val="22"/>
        </w:rPr>
        <w:t>THE PEOPLE OF THE STATE OF MICHIGAN ENACT:</w:t>
      </w:r>
    </w:p>
    <w:p w14:paraId="30D21F6D" w14:textId="30067EA8" w:rsidR="00313DB6" w:rsidRPr="00D51289" w:rsidRDefault="005005AF"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SEC. 3406U. </w:t>
      </w:r>
      <w:r w:rsidR="009F5458">
        <w:rPr>
          <w:rFonts w:ascii="Courier New" w:eastAsia="Times New Roman" w:hAnsi="Courier New" w:cs="Courier New"/>
          <w:b/>
          <w:sz w:val="22"/>
          <w:szCs w:val="22"/>
        </w:rPr>
        <w:t>(1</w:t>
      </w:r>
      <w:r w:rsidR="00313DB6" w:rsidRPr="00D51289">
        <w:rPr>
          <w:rFonts w:ascii="Courier New" w:eastAsia="Times New Roman" w:hAnsi="Courier New" w:cs="Courier New"/>
          <w:b/>
          <w:sz w:val="22"/>
          <w:szCs w:val="22"/>
        </w:rPr>
        <w:t>) 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65E7B36" w14:textId="78429737" w:rsidR="00313DB6" w:rsidRPr="00D51289" w:rsidRDefault="00313DB6" w:rsidP="005005AF">
      <w:pPr>
        <w:rPr>
          <w:rFonts w:ascii="Courier New" w:eastAsia="Times New Roman" w:hAnsi="Courier New" w:cs="Courier New"/>
          <w:sz w:val="22"/>
          <w:szCs w:val="22"/>
        </w:rPr>
      </w:pPr>
      <w:r w:rsidRPr="00D51289">
        <w:rPr>
          <w:rFonts w:ascii="Courier New" w:eastAsia="Times New Roman" w:hAnsi="Courier New" w:cs="Courier New"/>
          <w:b/>
          <w:sz w:val="22"/>
          <w:szCs w:val="22"/>
        </w:rPr>
        <w:tab/>
        <w:t xml:space="preserve">(A) </w:t>
      </w:r>
      <w:r w:rsidR="00623567" w:rsidRPr="00D51289">
        <w:rPr>
          <w:rFonts w:ascii="Courier New" w:eastAsia="Times New Roman" w:hAnsi="Courier New" w:cs="Courier New"/>
          <w:b/>
          <w:sz w:val="22"/>
          <w:szCs w:val="22"/>
        </w:rPr>
        <w:t>PROACTIVELY ENSURING COMPLIANCE BY ANY INSURER THAT DELIVERS, ISSUES FOR DELIVERY, OR RENEWS IN THIS STATE AN EXPENSE-INCURRED HOSPITAL, MEDICAL, OR SURGICAL POLICY OR CERTIFICATE</w:t>
      </w:r>
      <w:r w:rsidR="0091470B" w:rsidRPr="00D51289">
        <w:rPr>
          <w:rFonts w:ascii="Courier New" w:eastAsia="Times New Roman" w:hAnsi="Courier New" w:cs="Courier New"/>
          <w:b/>
          <w:sz w:val="22"/>
          <w:szCs w:val="22"/>
        </w:rPr>
        <w:t>,</w:t>
      </w:r>
      <w:r w:rsidR="00623567" w:rsidRPr="00D51289">
        <w:rPr>
          <w:rFonts w:ascii="Courier New" w:eastAsia="Times New Roman" w:hAnsi="Courier New" w:cs="Courier New"/>
          <w:b/>
          <w:sz w:val="22"/>
          <w:szCs w:val="22"/>
        </w:rPr>
        <w:t xml:space="preserve"> ANY HEALTH MAINTENANCE ORGANIZATION THAT ISSUES OR RENEWS A GROUP OR INDIVIDUAL CONTRACT</w:t>
      </w:r>
      <w:r w:rsidR="0091470B" w:rsidRPr="00D51289">
        <w:rPr>
          <w:rFonts w:ascii="Courier New" w:eastAsia="Times New Roman" w:hAnsi="Courier New" w:cs="Courier New"/>
          <w:b/>
          <w:sz w:val="22"/>
          <w:szCs w:val="22"/>
        </w:rPr>
        <w:t>, AND ANY HEALTH CARE CORPORATION THAT ISSUES OR RENEWS A GROUP OR NONGROUP CERTIFICATE</w:t>
      </w:r>
      <w:r w:rsidR="0091470B" w:rsidRPr="00D51289">
        <w:rPr>
          <w:rFonts w:ascii="Courier New" w:eastAsia="Times New Roman" w:hAnsi="Courier New" w:cs="Courier New"/>
          <w:sz w:val="22"/>
          <w:szCs w:val="22"/>
        </w:rPr>
        <w:t>.</w:t>
      </w:r>
    </w:p>
    <w:p w14:paraId="4DB31338" w14:textId="1CA3686A" w:rsidR="00623567" w:rsidRPr="00D51289" w:rsidRDefault="00623567"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(B) EVALUATING ALL CONSUMER OR PROVIDER COMPLAINTS REGARDING MENTAL HEALTH AND SUBSTANCE USE DISORDER COVERAGE FOR POSSIBLE PARITY VIOLATIONS.</w:t>
      </w:r>
    </w:p>
    <w:p w14:paraId="7F3B2FBD" w14:textId="275AF1CE" w:rsidR="00623567" w:rsidRPr="00D51289" w:rsidRDefault="00623567"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(C) PERFORMING PARITY-COMPLIANCE MARKET CONDUCT EXAMINATIONS OF INSURERS</w:t>
      </w:r>
      <w:r w:rsidR="0091470B" w:rsidRPr="00D51289">
        <w:rPr>
          <w:rFonts w:ascii="Courier New" w:eastAsia="Times New Roman" w:hAnsi="Courier New" w:cs="Courier New"/>
          <w:b/>
          <w:sz w:val="22"/>
          <w:szCs w:val="22"/>
        </w:rPr>
        <w:t>,</w:t>
      </w:r>
      <w:r w:rsidRPr="00D51289">
        <w:rPr>
          <w:rFonts w:ascii="Courier New" w:eastAsia="Times New Roman" w:hAnsi="Courier New" w:cs="Courier New"/>
          <w:b/>
          <w:sz w:val="22"/>
          <w:szCs w:val="22"/>
        </w:rPr>
        <w:t xml:space="preserve"> HEALTH MAINTENANCE ORGANIZATIONS, </w:t>
      </w:r>
      <w:r w:rsidR="0091470B" w:rsidRPr="00D51289">
        <w:rPr>
          <w:rFonts w:ascii="Courier New" w:eastAsia="Times New Roman" w:hAnsi="Courier New" w:cs="Courier New"/>
          <w:b/>
          <w:sz w:val="22"/>
          <w:szCs w:val="22"/>
        </w:rPr>
        <w:t xml:space="preserve">AND HEALTH CARE CORPORATIONS, </w:t>
      </w:r>
      <w:r w:rsidRPr="00D51289">
        <w:rPr>
          <w:rFonts w:ascii="Courier New" w:eastAsia="Times New Roman" w:hAnsi="Courier New" w:cs="Courier New"/>
          <w:b/>
          <w:sz w:val="22"/>
          <w:szCs w:val="22"/>
        </w:rPr>
        <w:t>PARTICULARLY MARKET CONDUCT EXAMINATIONS THAT FOCUS ON NONQUANTITATIVE TREATMENT LIMITATIONS SUCH AS PRIOR AUTHORIZATION, CONCURRENT REVIEW, RETROSPECTIVE REVIEW, STEP THERAPY, NETWORK ADMISSION STANDARDS, REIMBURSEMENT RATES, AND GEOGRAPHIC RESTRICTIONS, AMONG OTHER NONQUANTITATIVE TREATMENT LIMITATIONS.</w:t>
      </w:r>
    </w:p>
    <w:p w14:paraId="4AD4301E" w14:textId="56E19697" w:rsidR="00623567" w:rsidRPr="00D51289" w:rsidRDefault="00623567"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(D) REQUESTING THAT INSURERS</w:t>
      </w:r>
      <w:r w:rsidR="0009610D" w:rsidRPr="00D51289">
        <w:rPr>
          <w:rFonts w:ascii="Courier New" w:eastAsia="Times New Roman" w:hAnsi="Courier New" w:cs="Courier New"/>
          <w:b/>
          <w:sz w:val="22"/>
          <w:szCs w:val="22"/>
        </w:rPr>
        <w:t>,</w:t>
      </w:r>
      <w:r w:rsidRPr="00D51289">
        <w:rPr>
          <w:rFonts w:ascii="Courier New" w:eastAsia="Times New Roman" w:hAnsi="Courier New" w:cs="Courier New"/>
          <w:b/>
          <w:sz w:val="22"/>
          <w:szCs w:val="22"/>
        </w:rPr>
        <w:t xml:space="preserve"> HEALTH MAINTENANCE ORGANIZATIONS</w:t>
      </w:r>
      <w:r w:rsidR="0009610D" w:rsidRPr="00D51289">
        <w:rPr>
          <w:rFonts w:ascii="Courier New" w:eastAsia="Times New Roman" w:hAnsi="Courier New" w:cs="Courier New"/>
          <w:b/>
          <w:sz w:val="22"/>
          <w:szCs w:val="22"/>
        </w:rPr>
        <w:t>, AND HEALTH CARE CORPORATIONS</w:t>
      </w:r>
      <w:r w:rsidRPr="00D51289">
        <w:rPr>
          <w:rFonts w:ascii="Courier New" w:eastAsia="Times New Roman" w:hAnsi="Courier New" w:cs="Courier New"/>
          <w:b/>
          <w:sz w:val="22"/>
          <w:szCs w:val="22"/>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 </w:t>
      </w:r>
    </w:p>
    <w:p w14:paraId="25297F7F" w14:textId="0A463A24" w:rsidR="00A2207D" w:rsidRPr="00D51289" w:rsidRDefault="00A2207D"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(E) THE COMMISSIONER MAY ADOPT RULES, AS AUTHORIZED UNDER SECTION 500.210, AS MAY BE NECESSARY TO EFFECTUATE ANY PROVISIONS OF THE PAUL WELLSTONE AND PETE DOMENICI MENTAL HEALTH PARITY AND ADDICTION EQUITY ACT.</w:t>
      </w:r>
    </w:p>
    <w:p w14:paraId="0EB62B19" w14:textId="56C252D5" w:rsidR="005931CF" w:rsidRPr="00D51289" w:rsidRDefault="0055377A" w:rsidP="005005AF">
      <w:pPr>
        <w:rPr>
          <w:rFonts w:ascii="Courier New" w:eastAsia="Times New Roman" w:hAnsi="Courier New" w:cs="Courier New"/>
          <w:b/>
          <w:sz w:val="22"/>
          <w:szCs w:val="22"/>
        </w:rPr>
      </w:pPr>
      <w:r>
        <w:rPr>
          <w:rFonts w:ascii="Courier New" w:eastAsia="Times New Roman" w:hAnsi="Courier New" w:cs="Courier New"/>
          <w:b/>
          <w:sz w:val="22"/>
          <w:szCs w:val="22"/>
        </w:rPr>
        <w:tab/>
        <w:t>(2</w:t>
      </w:r>
      <w:bookmarkStart w:id="0" w:name="_GoBack"/>
      <w:bookmarkEnd w:id="0"/>
      <w:r w:rsidR="005931CF" w:rsidRPr="00D51289">
        <w:rPr>
          <w:rFonts w:ascii="Courier New" w:eastAsia="Times New Roman" w:hAnsi="Courier New" w:cs="Courier New"/>
          <w:b/>
          <w:sz w:val="22"/>
          <w:szCs w:val="22"/>
        </w:rPr>
        <w:t xml:space="preserve">) NOT LATER THAN APRIL 1, 2020, THE COMMISSIONER SHALL ISSUE A REPORT AND EDUCATIONAL PRESENTATION </w:t>
      </w:r>
      <w:r w:rsidR="00BB4B59" w:rsidRPr="00D51289">
        <w:rPr>
          <w:rFonts w:ascii="Courier New" w:eastAsia="Times New Roman" w:hAnsi="Courier New" w:cs="Courier New"/>
          <w:b/>
          <w:sz w:val="22"/>
          <w:szCs w:val="22"/>
        </w:rPr>
        <w:t>TO THE LEGISLATURE, WHICH SHALL:</w:t>
      </w:r>
    </w:p>
    <w:p w14:paraId="23356F65" w14:textId="49940259" w:rsidR="00BB4B59" w:rsidRPr="00D51289" w:rsidRDefault="00BB4B59"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lastRenderedPageBreak/>
        <w:tab/>
        <w:t>(A) COVER THE METHODOLOGY THE COMMISSIONER IS USING TO CHECK FOR COMPLIANCE WITH THE PAUL WELLSTONE AND PETE DOMENICI MENTAL HEALTH PARITY AND ADDICITON EQUITY ACT OF 2008 (MHPAEA), AND ANY FEDERAL REGULATIONS OR GUIDANCE RELATING TO THE COMPLIANCE AND OVERSIGHT OF MHPAEA.</w:t>
      </w:r>
    </w:p>
    <w:p w14:paraId="1F399960" w14:textId="00B8A2E8" w:rsidR="00BB4B59" w:rsidRPr="00D51289" w:rsidRDefault="00BB4B59"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(B) COVER THE METHODOLOGY THE COMMISSIONER IS USING TO CHECK FOR COMPLIANCE WITH SECTION 500.3425 AND SECTION 550.1414A.</w:t>
      </w:r>
    </w:p>
    <w:p w14:paraId="256076C1" w14:textId="185154A0" w:rsidR="00BB4B59" w:rsidRPr="00D51289" w:rsidRDefault="00BB4B59"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(C) IDENTIFY MARKET CONDUCT EXAMINATIONS CONDUCTED OR COMPLETED DURING THE PRECEDING 12-MONTH PERIOD REGARDING COMPLIANCE WITH PARITY IN MENTAL HEALTH AND SUBSTANCE USED DISORDER BENEFITS UNDER STATE AND FEDERAL LAWS AND SUMMARIZE THE RESULTS OF SUCH MARKET CONDUCT EXAMINATIONS.</w:t>
      </w:r>
    </w:p>
    <w:p w14:paraId="03284E74" w14:textId="5D5BF7DA" w:rsidR="00BB4B59" w:rsidRPr="00D51289" w:rsidRDefault="00BB4B59"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(D) DETAIL ANY EDUCATIONAL OR CORRECTIVE ACTIONS THE </w:t>
      </w:r>
      <w:r w:rsidR="0087191B" w:rsidRPr="00D51289">
        <w:rPr>
          <w:rFonts w:ascii="Courier New" w:eastAsia="Times New Roman" w:hAnsi="Courier New" w:cs="Courier New"/>
          <w:b/>
          <w:sz w:val="22"/>
          <w:szCs w:val="22"/>
        </w:rPr>
        <w:t>COMMISSIONER</w:t>
      </w:r>
      <w:r w:rsidRPr="00D51289">
        <w:rPr>
          <w:rFonts w:ascii="Courier New" w:eastAsia="Times New Roman" w:hAnsi="Courier New" w:cs="Courier New"/>
          <w:b/>
          <w:sz w:val="22"/>
          <w:szCs w:val="22"/>
        </w:rPr>
        <w:t xml:space="preserve"> HAS TAKEN TO ENSURE INSURER</w:t>
      </w:r>
      <w:r w:rsidR="0087191B" w:rsidRPr="00D51289">
        <w:rPr>
          <w:rFonts w:ascii="Courier New" w:eastAsia="Times New Roman" w:hAnsi="Courier New" w:cs="Courier New"/>
          <w:b/>
          <w:sz w:val="22"/>
          <w:szCs w:val="22"/>
        </w:rPr>
        <w:t>, HEALTH MAINTENANCE ORGANIZATION, AND HEALTH CARE CORPORATION COMPLIANCE WITH MHPAEA AND SECTIONS 500.3425 AND 550.1414A.</w:t>
      </w:r>
    </w:p>
    <w:p w14:paraId="3296C6F8" w14:textId="1EF224DD" w:rsidR="0087191B" w:rsidRPr="00D51289" w:rsidRDefault="0087191B"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(E) THE REPORT MUST BE WRITTEN IN NON-TECHNICAL, READILY-UNDERSTANDABLE LANGUAGE AND SHALL BE MADE AVAILABLE TO THE PUBLIC BY, AMONG OTHER SUCH MEANS AS THE COMMISSIONER FINDS APPROPRIATE, POSTING THE REPORT ON THE INTERNTET WEBSITE OF THE</w:t>
      </w:r>
      <w:r w:rsidR="00BD4826" w:rsidRPr="00D51289">
        <w:rPr>
          <w:rFonts w:ascii="Courier New" w:eastAsia="Times New Roman" w:hAnsi="Courier New" w:cs="Courier New"/>
          <w:b/>
          <w:sz w:val="22"/>
          <w:szCs w:val="22"/>
        </w:rPr>
        <w:t xml:space="preserve"> DEPARTMENT OF INSURANCE AND FINANCIAL SERVICES.</w:t>
      </w:r>
    </w:p>
    <w:p w14:paraId="4E53AB08" w14:textId="5F4F6C4E" w:rsidR="006C22F4" w:rsidRPr="00D51289" w:rsidRDefault="006C22F4" w:rsidP="005005AF">
      <w:pPr>
        <w:rPr>
          <w:rFonts w:ascii="Courier New" w:eastAsia="Times New Roman" w:hAnsi="Courier New" w:cs="Courier New"/>
          <w:sz w:val="22"/>
          <w:szCs w:val="22"/>
        </w:rPr>
      </w:pPr>
      <w:r w:rsidRPr="00D51289">
        <w:rPr>
          <w:rFonts w:ascii="Courier New" w:eastAsia="Times New Roman" w:hAnsi="Courier New" w:cs="Courier New"/>
          <w:b/>
          <w:sz w:val="22"/>
          <w:szCs w:val="22"/>
        </w:rPr>
        <w:tab/>
      </w:r>
      <w:r w:rsidRPr="00D51289">
        <w:rPr>
          <w:rFonts w:ascii="Courier New" w:eastAsia="Times New Roman" w:hAnsi="Courier New" w:cs="Courier New"/>
          <w:sz w:val="22"/>
          <w:szCs w:val="22"/>
        </w:rPr>
        <w:t>Enacting section 1. This amendatory act takes effect 90 days after the date it is enacted into law.</w:t>
      </w:r>
    </w:p>
    <w:p w14:paraId="69CBA00F" w14:textId="77777777" w:rsidR="00BB4B59" w:rsidRDefault="00BB4B59" w:rsidP="005005AF">
      <w:pPr>
        <w:rPr>
          <w:rFonts w:ascii="Times" w:eastAsia="Times New Roman" w:hAnsi="Times" w:cs="Times New Roman"/>
          <w:b/>
          <w:sz w:val="20"/>
          <w:szCs w:val="20"/>
        </w:rPr>
      </w:pPr>
    </w:p>
    <w:p w14:paraId="4AC32FB2" w14:textId="77777777" w:rsidR="00313DB6" w:rsidRDefault="00313DB6" w:rsidP="005005AF">
      <w:pPr>
        <w:rPr>
          <w:rFonts w:ascii="Times" w:eastAsia="Times New Roman" w:hAnsi="Times" w:cs="Times New Roman"/>
          <w:b/>
          <w:sz w:val="20"/>
          <w:szCs w:val="20"/>
        </w:rPr>
      </w:pPr>
    </w:p>
    <w:p w14:paraId="3D099B87" w14:textId="59FF706D" w:rsidR="00313DB6" w:rsidRDefault="00313DB6" w:rsidP="005005AF">
      <w:pPr>
        <w:rPr>
          <w:rFonts w:ascii="Times" w:eastAsia="Times New Roman" w:hAnsi="Times" w:cs="Times New Roman"/>
          <w:b/>
          <w:sz w:val="20"/>
          <w:szCs w:val="20"/>
        </w:rPr>
      </w:pPr>
    </w:p>
    <w:p w14:paraId="41F360B7" w14:textId="77777777" w:rsidR="00313DB6" w:rsidRDefault="00313DB6" w:rsidP="005005AF">
      <w:pPr>
        <w:rPr>
          <w:rFonts w:ascii="Times" w:eastAsia="Times New Roman" w:hAnsi="Times" w:cs="Times New Roman"/>
          <w:b/>
          <w:sz w:val="20"/>
          <w:szCs w:val="20"/>
        </w:rPr>
      </w:pPr>
    </w:p>
    <w:p w14:paraId="01DA3C55" w14:textId="77777777" w:rsidR="00202113" w:rsidRDefault="00202113"/>
    <w:sectPr w:rsidR="00202113"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235D1"/>
    <w:multiLevelType w:val="hybridMultilevel"/>
    <w:tmpl w:val="8ABAAB0E"/>
    <w:lvl w:ilvl="0" w:tplc="CCCA14E8">
      <w:start w:val="1"/>
      <w:numFmt w:val="decimal"/>
      <w:lvlText w:val="%1"/>
      <w:lvlJc w:val="left"/>
      <w:pPr>
        <w:ind w:left="1464" w:hanging="1220"/>
        <w:jc w:val="right"/>
      </w:pPr>
      <w:rPr>
        <w:rFonts w:ascii="Courier New" w:eastAsia="Courier New" w:hAnsi="Courier New" w:cs="Courier New" w:hint="default"/>
        <w:b/>
        <w:bCs/>
        <w:w w:val="100"/>
        <w:sz w:val="23"/>
        <w:szCs w:val="23"/>
        <w:lang w:val="en-US" w:eastAsia="en-US" w:bidi="en-US"/>
      </w:rPr>
    </w:lvl>
    <w:lvl w:ilvl="1" w:tplc="4ECECA06">
      <w:start w:val="1"/>
      <w:numFmt w:val="decimal"/>
      <w:lvlText w:val="%2"/>
      <w:lvlJc w:val="left"/>
      <w:pPr>
        <w:ind w:left="744" w:hanging="500"/>
        <w:jc w:val="right"/>
      </w:pPr>
      <w:rPr>
        <w:rFonts w:ascii="Courier New" w:eastAsia="Courier New" w:hAnsi="Courier New" w:cs="Courier New" w:hint="default"/>
        <w:b/>
        <w:bCs/>
        <w:w w:val="100"/>
        <w:sz w:val="23"/>
        <w:szCs w:val="23"/>
        <w:lang w:val="en-US" w:eastAsia="en-US" w:bidi="en-US"/>
      </w:rPr>
    </w:lvl>
    <w:lvl w:ilvl="2" w:tplc="FF481618">
      <w:numFmt w:val="bullet"/>
      <w:lvlText w:val="•"/>
      <w:lvlJc w:val="left"/>
      <w:pPr>
        <w:ind w:left="2420" w:hanging="500"/>
      </w:pPr>
      <w:rPr>
        <w:rFonts w:hint="default"/>
        <w:lang w:val="en-US" w:eastAsia="en-US" w:bidi="en-US"/>
      </w:rPr>
    </w:lvl>
    <w:lvl w:ilvl="3" w:tplc="EB1C1FA4">
      <w:numFmt w:val="bullet"/>
      <w:lvlText w:val="•"/>
      <w:lvlJc w:val="left"/>
      <w:pPr>
        <w:ind w:left="3380" w:hanging="500"/>
      </w:pPr>
      <w:rPr>
        <w:rFonts w:hint="default"/>
        <w:lang w:val="en-US" w:eastAsia="en-US" w:bidi="en-US"/>
      </w:rPr>
    </w:lvl>
    <w:lvl w:ilvl="4" w:tplc="2E861382">
      <w:numFmt w:val="bullet"/>
      <w:lvlText w:val="•"/>
      <w:lvlJc w:val="left"/>
      <w:pPr>
        <w:ind w:left="4340" w:hanging="500"/>
      </w:pPr>
      <w:rPr>
        <w:rFonts w:hint="default"/>
        <w:lang w:val="en-US" w:eastAsia="en-US" w:bidi="en-US"/>
      </w:rPr>
    </w:lvl>
    <w:lvl w:ilvl="5" w:tplc="A62086B4">
      <w:numFmt w:val="bullet"/>
      <w:lvlText w:val="•"/>
      <w:lvlJc w:val="left"/>
      <w:pPr>
        <w:ind w:left="5300" w:hanging="500"/>
      </w:pPr>
      <w:rPr>
        <w:rFonts w:hint="default"/>
        <w:lang w:val="en-US" w:eastAsia="en-US" w:bidi="en-US"/>
      </w:rPr>
    </w:lvl>
    <w:lvl w:ilvl="6" w:tplc="2B9EA148">
      <w:numFmt w:val="bullet"/>
      <w:lvlText w:val="•"/>
      <w:lvlJc w:val="left"/>
      <w:pPr>
        <w:ind w:left="6260" w:hanging="500"/>
      </w:pPr>
      <w:rPr>
        <w:rFonts w:hint="default"/>
        <w:lang w:val="en-US" w:eastAsia="en-US" w:bidi="en-US"/>
      </w:rPr>
    </w:lvl>
    <w:lvl w:ilvl="7" w:tplc="EDCEB6D4">
      <w:numFmt w:val="bullet"/>
      <w:lvlText w:val="•"/>
      <w:lvlJc w:val="left"/>
      <w:pPr>
        <w:ind w:left="7220" w:hanging="500"/>
      </w:pPr>
      <w:rPr>
        <w:rFonts w:hint="default"/>
        <w:lang w:val="en-US" w:eastAsia="en-US" w:bidi="en-US"/>
      </w:rPr>
    </w:lvl>
    <w:lvl w:ilvl="8" w:tplc="6D1C379E">
      <w:numFmt w:val="bullet"/>
      <w:lvlText w:val="•"/>
      <w:lvlJc w:val="left"/>
      <w:pPr>
        <w:ind w:left="8180" w:hanging="50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75"/>
    <w:rsid w:val="0009610D"/>
    <w:rsid w:val="00202113"/>
    <w:rsid w:val="00313DB6"/>
    <w:rsid w:val="00382A23"/>
    <w:rsid w:val="003A60D8"/>
    <w:rsid w:val="003E7AC2"/>
    <w:rsid w:val="004D7422"/>
    <w:rsid w:val="005005AF"/>
    <w:rsid w:val="0055377A"/>
    <w:rsid w:val="005931CF"/>
    <w:rsid w:val="00623567"/>
    <w:rsid w:val="006845E1"/>
    <w:rsid w:val="006C22F4"/>
    <w:rsid w:val="00725979"/>
    <w:rsid w:val="008701CA"/>
    <w:rsid w:val="0087191B"/>
    <w:rsid w:val="00914661"/>
    <w:rsid w:val="0091470B"/>
    <w:rsid w:val="009F5458"/>
    <w:rsid w:val="00A2207D"/>
    <w:rsid w:val="00BB4B59"/>
    <w:rsid w:val="00BD4826"/>
    <w:rsid w:val="00C37778"/>
    <w:rsid w:val="00CE5E09"/>
    <w:rsid w:val="00D51289"/>
    <w:rsid w:val="00D6647A"/>
    <w:rsid w:val="00E16975"/>
    <w:rsid w:val="00EC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92C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22F4"/>
    <w:pPr>
      <w:widowControl w:val="0"/>
      <w:autoSpaceDE w:val="0"/>
      <w:autoSpaceDN w:val="0"/>
      <w:spacing w:before="179"/>
      <w:ind w:left="744" w:hanging="500"/>
    </w:pPr>
    <w:rPr>
      <w:rFonts w:ascii="Courier New" w:eastAsia="Courier New" w:hAnsi="Courier New" w:cs="Courier New"/>
      <w:sz w:val="22"/>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22F4"/>
    <w:pPr>
      <w:widowControl w:val="0"/>
      <w:autoSpaceDE w:val="0"/>
      <w:autoSpaceDN w:val="0"/>
      <w:spacing w:before="179"/>
      <w:ind w:left="744" w:hanging="500"/>
    </w:pPr>
    <w:rPr>
      <w:rFonts w:ascii="Courier New" w:eastAsia="Courier New" w:hAnsi="Courier New" w:cs="Courier New"/>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6477">
      <w:bodyDiv w:val="1"/>
      <w:marLeft w:val="0"/>
      <w:marRight w:val="0"/>
      <w:marTop w:val="0"/>
      <w:marBottom w:val="0"/>
      <w:divBdr>
        <w:top w:val="none" w:sz="0" w:space="0" w:color="auto"/>
        <w:left w:val="none" w:sz="0" w:space="0" w:color="auto"/>
        <w:bottom w:val="none" w:sz="0" w:space="0" w:color="auto"/>
        <w:right w:val="none" w:sz="0" w:space="0" w:color="auto"/>
      </w:divBdr>
    </w:div>
    <w:div w:id="1235312075">
      <w:bodyDiv w:val="1"/>
      <w:marLeft w:val="0"/>
      <w:marRight w:val="0"/>
      <w:marTop w:val="0"/>
      <w:marBottom w:val="0"/>
      <w:divBdr>
        <w:top w:val="none" w:sz="0" w:space="0" w:color="auto"/>
        <w:left w:val="none" w:sz="0" w:space="0" w:color="auto"/>
        <w:bottom w:val="none" w:sz="0" w:space="0" w:color="auto"/>
        <w:right w:val="none" w:sz="0" w:space="0" w:color="auto"/>
      </w:divBdr>
    </w:div>
    <w:div w:id="2050185244">
      <w:bodyDiv w:val="1"/>
      <w:marLeft w:val="0"/>
      <w:marRight w:val="0"/>
      <w:marTop w:val="0"/>
      <w:marBottom w:val="0"/>
      <w:divBdr>
        <w:top w:val="none" w:sz="0" w:space="0" w:color="auto"/>
        <w:left w:val="none" w:sz="0" w:space="0" w:color="auto"/>
        <w:bottom w:val="none" w:sz="0" w:space="0" w:color="auto"/>
        <w:right w:val="none" w:sz="0" w:space="0" w:color="auto"/>
      </w:divBdr>
    </w:div>
    <w:div w:id="2090537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3177</Characters>
  <Application>Microsoft Macintosh Word</Application>
  <DocSecurity>0</DocSecurity>
  <Lines>26</Lines>
  <Paragraphs>7</Paragraphs>
  <ScaleCrop>false</ScaleCrop>
  <Company>Scattergood Foundation</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2018-08-18T18:36:00Z</dcterms:created>
  <dcterms:modified xsi:type="dcterms:W3CDTF">2018-08-18T18:36:00Z</dcterms:modified>
</cp:coreProperties>
</file>