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BFF4C" w14:textId="77777777" w:rsidR="00BB60FD" w:rsidRPr="006C4CFB" w:rsidRDefault="00BB60FD" w:rsidP="00BB60FD">
      <w:pPr>
        <w:jc w:val="center"/>
        <w:rPr>
          <w:rFonts w:ascii="Times" w:eastAsia="Times New Roman" w:hAnsi="Times" w:cs="Times New Roman"/>
          <w:sz w:val="22"/>
          <w:szCs w:val="22"/>
        </w:rPr>
      </w:pPr>
    </w:p>
    <w:p w14:paraId="11C09B9D" w14:textId="037F1AE3" w:rsidR="004D252E" w:rsidRDefault="004D252E" w:rsidP="00C63DFE">
      <w:pPr>
        <w:rPr>
          <w:rFonts w:ascii="Times" w:eastAsia="Times New Roman" w:hAnsi="Times" w:cs="Times New Roman"/>
          <w:sz w:val="22"/>
          <w:szCs w:val="22"/>
        </w:rPr>
      </w:pPr>
    </w:p>
    <w:p w14:paraId="3905831A" w14:textId="6CC859EE" w:rsidR="00C63DFE" w:rsidRPr="00C63DFE" w:rsidRDefault="00C63DFE" w:rsidP="00C63DFE">
      <w:pPr>
        <w:rPr>
          <w:rFonts w:ascii="Times" w:eastAsia="Times New Roman" w:hAnsi="Times" w:cs="Times New Roman"/>
          <w:sz w:val="22"/>
          <w:szCs w:val="22"/>
        </w:rPr>
      </w:pPr>
      <w:r w:rsidRPr="00C63DFE">
        <w:rPr>
          <w:rFonts w:ascii="Times" w:eastAsia="Times New Roman" w:hAnsi="Times" w:cs="Times New Roman"/>
          <w:sz w:val="22"/>
          <w:szCs w:val="22"/>
        </w:rPr>
        <w:t xml:space="preserve">By Mr. </w:t>
      </w:r>
      <w:r w:rsidRPr="004D252E">
        <w:rPr>
          <w:rFonts w:ascii="Times" w:eastAsia="Times New Roman" w:hAnsi="Times" w:cs="Times New Roman"/>
          <w:sz w:val="22"/>
          <w:szCs w:val="22"/>
        </w:rPr>
        <w:t>______</w:t>
      </w:r>
      <w:r w:rsidRPr="00C63DFE">
        <w:rPr>
          <w:rFonts w:ascii="Times" w:eastAsia="Times New Roman" w:hAnsi="Times" w:cs="Times New Roman"/>
          <w:sz w:val="22"/>
          <w:szCs w:val="22"/>
        </w:rPr>
        <w:t xml:space="preserve">, a petition (accompanied by bill, Senate, No. </w:t>
      </w:r>
      <w:r w:rsidRPr="004D252E">
        <w:rPr>
          <w:rFonts w:ascii="Times" w:eastAsia="Times New Roman" w:hAnsi="Times" w:cs="Times New Roman"/>
          <w:sz w:val="22"/>
          <w:szCs w:val="22"/>
        </w:rPr>
        <w:t>XXX</w:t>
      </w:r>
      <w:r w:rsidRPr="00C63DFE">
        <w:rPr>
          <w:rFonts w:ascii="Times" w:eastAsia="Times New Roman" w:hAnsi="Times" w:cs="Times New Roman"/>
          <w:sz w:val="22"/>
          <w:szCs w:val="22"/>
        </w:rPr>
        <w:t xml:space="preserve">) of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w:t>
      </w:r>
      <w:r w:rsidRPr="004D252E">
        <w:rPr>
          <w:rFonts w:ascii="Times" w:eastAsia="Times New Roman" w:hAnsi="Times" w:cs="Times New Roman"/>
          <w:sz w:val="22"/>
          <w:szCs w:val="22"/>
        </w:rPr>
        <w:t>_______</w:t>
      </w:r>
      <w:r w:rsidRPr="00C63DFE">
        <w:rPr>
          <w:rFonts w:ascii="Times" w:eastAsia="Times New Roman" w:hAnsi="Times" w:cs="Times New Roman"/>
          <w:sz w:val="22"/>
          <w:szCs w:val="22"/>
        </w:rPr>
        <w:t xml:space="preserve"> and other members of the General Court for legislation relative to mental health parity. Financial Services</w:t>
      </w:r>
    </w:p>
    <w:p w14:paraId="2E446203" w14:textId="3B73BDDE" w:rsidR="00A84F7E" w:rsidRDefault="004D252E" w:rsidP="00BB60FD">
      <w:pPr>
        <w:jc w:val="center"/>
        <w:rPr>
          <w:rFonts w:ascii="Times" w:eastAsia="Times New Roman" w:hAnsi="Times" w:cs="Times New Roman"/>
          <w:b/>
          <w:sz w:val="22"/>
          <w:szCs w:val="22"/>
        </w:rPr>
      </w:pPr>
      <w:r>
        <w:rPr>
          <w:rFonts w:ascii="Times" w:eastAsia="Times New Roman" w:hAnsi="Times" w:cs="Times New Roman"/>
          <w:noProof/>
          <w:sz w:val="22"/>
          <w:szCs w:val="22"/>
        </w:rPr>
        <mc:AlternateContent>
          <mc:Choice Requires="wps">
            <w:drawing>
              <wp:anchor distT="0" distB="0" distL="114300" distR="114300" simplePos="0" relativeHeight="251665408" behindDoc="0" locked="0" layoutInCell="1" allowOverlap="1" wp14:anchorId="0A7EEB43" wp14:editId="6247B37B">
                <wp:simplePos x="0" y="0"/>
                <wp:positionH relativeFrom="column">
                  <wp:posOffset>0</wp:posOffset>
                </wp:positionH>
                <wp:positionV relativeFrom="paragraph">
                  <wp:posOffset>29210</wp:posOffset>
                </wp:positionV>
                <wp:extent cx="5257800" cy="0"/>
                <wp:effectExtent l="50800" t="50800" r="50800" b="101600"/>
                <wp:wrapNone/>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a:ln w="476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3pt" to="414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" strokecolor="black [3213]" strokeweight="3.75pt">
                <v:shadow on="t" opacity="24903f" mv:blur="40000f" origin=",.5" offset="0,20000emu"/>
              </v:line>
            </w:pict>
          </mc:Fallback>
        </mc:AlternateContent>
      </w:r>
      <w:r>
        <w:rPr>
          <w:rFonts w:ascii="Times" w:eastAsia="Times New Roman" w:hAnsi="Times" w:cs="Times New Roman"/>
          <w:noProof/>
          <w:sz w:val="22"/>
          <w:szCs w:val="22"/>
        </w:rPr>
        <mc:AlternateContent>
          <mc:Choice Requires="wps">
            <w:drawing>
              <wp:anchor distT="0" distB="0" distL="114300" distR="114300" simplePos="0" relativeHeight="251663360" behindDoc="0" locked="0" layoutInCell="1" allowOverlap="1" wp14:anchorId="6581B206" wp14:editId="7AD33686">
                <wp:simplePos x="0" y="0"/>
                <wp:positionH relativeFrom="column">
                  <wp:posOffset>0</wp:posOffset>
                </wp:positionH>
                <wp:positionV relativeFrom="paragraph">
                  <wp:posOffset>-542290</wp:posOffset>
                </wp:positionV>
                <wp:extent cx="5257800" cy="0"/>
                <wp:effectExtent l="50800" t="50800" r="50800" b="101600"/>
                <wp:wrapNone/>
                <wp:docPr id="3" name="Straight Connector 3"/>
                <wp:cNvGraphicFramePr/>
                <a:graphic xmlns:a="http://schemas.openxmlformats.org/drawingml/2006/main">
                  <a:graphicData uri="http://schemas.microsoft.com/office/word/2010/wordprocessingShape">
                    <wps:wsp>
                      <wps:cNvCnPr/>
                      <wps:spPr>
                        <a:xfrm>
                          <a:off x="0" y="0"/>
                          <a:ext cx="5257800" cy="0"/>
                        </a:xfrm>
                        <a:prstGeom prst="line">
                          <a:avLst/>
                        </a:prstGeom>
                        <a:ln w="476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2.65pt" to="414pt,-4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" strokecolor="black [3213]" strokeweight="3.75pt">
                <v:shadow on="t" opacity="24903f" mv:blur="40000f" origin=",.5" offset="0,20000emu"/>
              </v:line>
            </w:pict>
          </mc:Fallback>
        </mc:AlternateContent>
      </w:r>
    </w:p>
    <w:p w14:paraId="1070E85B" w14:textId="50969234" w:rsidR="00A84F7E" w:rsidRDefault="00A84F7E" w:rsidP="00BB60FD">
      <w:pPr>
        <w:jc w:val="center"/>
        <w:rPr>
          <w:rFonts w:ascii="Times" w:eastAsia="Times New Roman" w:hAnsi="Times" w:cs="Times New Roman"/>
          <w:b/>
          <w:sz w:val="22"/>
          <w:szCs w:val="22"/>
        </w:rPr>
      </w:pPr>
    </w:p>
    <w:p w14:paraId="5D6DD01D" w14:textId="77777777" w:rsidR="00BB60FD" w:rsidRPr="00595800" w:rsidRDefault="00BB60FD" w:rsidP="00BB60FD">
      <w:pPr>
        <w:jc w:val="center"/>
        <w:rPr>
          <w:rFonts w:ascii="Times" w:eastAsia="Times New Roman" w:hAnsi="Times" w:cs="Times New Roman"/>
          <w:b/>
          <w:sz w:val="22"/>
          <w:szCs w:val="22"/>
        </w:rPr>
      </w:pPr>
      <w:r w:rsidRPr="00595800">
        <w:rPr>
          <w:rFonts w:ascii="Times" w:eastAsia="Times New Roman" w:hAnsi="Times" w:cs="Times New Roman"/>
          <w:b/>
          <w:sz w:val="22"/>
          <w:szCs w:val="22"/>
        </w:rPr>
        <w:t>The Commonwealth of Massachusetts</w:t>
      </w:r>
    </w:p>
    <w:p w14:paraId="58D5C9A4" w14:textId="77777777" w:rsidR="00BB60FD" w:rsidRPr="006C4CFB" w:rsidRDefault="00BB60FD" w:rsidP="00BB60FD">
      <w:pPr>
        <w:jc w:val="center"/>
        <w:rPr>
          <w:rFonts w:ascii="Times" w:eastAsia="Times New Roman" w:hAnsi="Times" w:cs="Times New Roman"/>
          <w:b/>
          <w:sz w:val="22"/>
          <w:szCs w:val="22"/>
        </w:rPr>
      </w:pPr>
    </w:p>
    <w:p w14:paraId="5C57C599" w14:textId="39C36FAA" w:rsidR="00A84F7E" w:rsidRDefault="00A84F7E" w:rsidP="00BB60FD">
      <w:pPr>
        <w:jc w:val="center"/>
        <w:rPr>
          <w:rFonts w:ascii="Times" w:eastAsia="Times New Roman" w:hAnsi="Times" w:cs="Times New Roman"/>
          <w:b/>
          <w:sz w:val="22"/>
          <w:szCs w:val="22"/>
        </w:rPr>
      </w:pPr>
      <w:r>
        <w:rPr>
          <w:rFonts w:ascii="Times" w:eastAsia="Times New Roman" w:hAnsi="Times" w:cs="Times New Roman"/>
          <w:b/>
          <w:noProof/>
          <w:sz w:val="22"/>
          <w:szCs w:val="22"/>
        </w:rPr>
        <mc:AlternateContent>
          <mc:Choice Requires="wps">
            <w:drawing>
              <wp:anchor distT="0" distB="0" distL="114300" distR="114300" simplePos="0" relativeHeight="251659264" behindDoc="0" locked="0" layoutInCell="1" allowOverlap="1" wp14:anchorId="199FA21B" wp14:editId="11B0513B">
                <wp:simplePos x="0" y="0"/>
                <wp:positionH relativeFrom="column">
                  <wp:posOffset>2286000</wp:posOffset>
                </wp:positionH>
                <wp:positionV relativeFrom="paragraph">
                  <wp:posOffset>107950</wp:posOffset>
                </wp:positionV>
                <wp:extent cx="914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chemeClr val="tx1">
                              <a:lumMod val="95000"/>
                              <a:lumOff val="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pt,8.5pt" to="252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" strokecolor="#0d0d0d [3069]" strokeweight=".5pt">
                <v:shadow on="t" opacity="24903f" mv:blur="40000f" origin=",.5" offset="0,20000emu"/>
              </v:line>
            </w:pict>
          </mc:Fallback>
        </mc:AlternateContent>
      </w:r>
    </w:p>
    <w:p w14:paraId="5BEEC0D7" w14:textId="77777777" w:rsidR="008A7C1B" w:rsidRPr="006C4CFB" w:rsidRDefault="00BB60FD" w:rsidP="00BB60FD">
      <w:pPr>
        <w:jc w:val="center"/>
        <w:rPr>
          <w:rFonts w:ascii="Times" w:eastAsia="Times New Roman" w:hAnsi="Times" w:cs="Times New Roman"/>
          <w:b/>
          <w:sz w:val="22"/>
          <w:szCs w:val="22"/>
        </w:rPr>
      </w:pPr>
      <w:r w:rsidRPr="006C4CFB">
        <w:rPr>
          <w:rFonts w:ascii="Times" w:eastAsia="Times New Roman" w:hAnsi="Times" w:cs="Times New Roman"/>
          <w:b/>
          <w:sz w:val="22"/>
          <w:szCs w:val="22"/>
        </w:rPr>
        <w:t xml:space="preserve">In the One Hundred and Ninety-First General Court </w:t>
      </w:r>
    </w:p>
    <w:p w14:paraId="1CA58201" w14:textId="7168D2D7" w:rsidR="00BB60FD" w:rsidRPr="006C4CFB" w:rsidRDefault="00BB60FD" w:rsidP="00BB60FD">
      <w:pPr>
        <w:jc w:val="center"/>
        <w:rPr>
          <w:rFonts w:ascii="Times" w:eastAsia="Times New Roman" w:hAnsi="Times" w:cs="Times New Roman"/>
          <w:b/>
          <w:sz w:val="22"/>
          <w:szCs w:val="22"/>
        </w:rPr>
      </w:pPr>
      <w:r w:rsidRPr="006C4CFB">
        <w:rPr>
          <w:rFonts w:ascii="Times" w:eastAsia="Times New Roman" w:hAnsi="Times" w:cs="Times New Roman"/>
          <w:b/>
          <w:sz w:val="22"/>
          <w:szCs w:val="22"/>
        </w:rPr>
        <w:t>(2019-2020)</w:t>
      </w:r>
    </w:p>
    <w:p w14:paraId="147929A5" w14:textId="29333C49" w:rsidR="006239B2" w:rsidRPr="006C4CFB" w:rsidRDefault="00A84F7E" w:rsidP="00BB60FD">
      <w:pPr>
        <w:jc w:val="center"/>
        <w:rPr>
          <w:rFonts w:ascii="Times" w:eastAsia="Times New Roman" w:hAnsi="Times" w:cs="Times New Roman"/>
          <w:sz w:val="22"/>
          <w:szCs w:val="22"/>
        </w:rPr>
      </w:pPr>
      <w:r>
        <w:rPr>
          <w:rFonts w:ascii="Times" w:eastAsia="Times New Roman" w:hAnsi="Times" w:cs="Times New Roman"/>
          <w:b/>
          <w:noProof/>
          <w:sz w:val="22"/>
          <w:szCs w:val="22"/>
        </w:rPr>
        <mc:AlternateContent>
          <mc:Choice Requires="wps">
            <w:drawing>
              <wp:anchor distT="0" distB="0" distL="114300" distR="114300" simplePos="0" relativeHeight="251661312" behindDoc="0" locked="0" layoutInCell="1" allowOverlap="1" wp14:anchorId="2D9C96A9" wp14:editId="5AB94C48">
                <wp:simplePos x="0" y="0"/>
                <wp:positionH relativeFrom="column">
                  <wp:posOffset>2286000</wp:posOffset>
                </wp:positionH>
                <wp:positionV relativeFrom="paragraph">
                  <wp:posOffset>81280</wp:posOffset>
                </wp:positionV>
                <wp:extent cx="914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6350">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pt,6.4pt" to="252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" strokeweight=".5pt">
                <v:shadow on="t" opacity="24903f" mv:blur="40000f" origin=",.5" offset="0,20000emu"/>
              </v:line>
            </w:pict>
          </mc:Fallback>
        </mc:AlternateContent>
      </w:r>
    </w:p>
    <w:p w14:paraId="073F6B26" w14:textId="77777777" w:rsidR="006239B2" w:rsidRPr="006C4CFB" w:rsidRDefault="006239B2" w:rsidP="00BB60FD">
      <w:pPr>
        <w:jc w:val="center"/>
        <w:rPr>
          <w:rFonts w:ascii="Times" w:eastAsia="Times New Roman" w:hAnsi="Times" w:cs="Times New Roman"/>
          <w:sz w:val="22"/>
          <w:szCs w:val="22"/>
        </w:rPr>
      </w:pPr>
    </w:p>
    <w:p w14:paraId="26FE39DE" w14:textId="77777777" w:rsidR="006239B2" w:rsidRPr="006C4CFB" w:rsidRDefault="006239B2" w:rsidP="006239B2">
      <w:pPr>
        <w:rPr>
          <w:rFonts w:ascii="Times" w:eastAsia="Times New Roman" w:hAnsi="Times" w:cs="Times New Roman"/>
          <w:sz w:val="22"/>
          <w:szCs w:val="22"/>
        </w:rPr>
      </w:pPr>
      <w:r w:rsidRPr="006C4CFB">
        <w:rPr>
          <w:rFonts w:ascii="Times" w:eastAsia="Times New Roman" w:hAnsi="Times" w:cs="Times New Roman"/>
          <w:sz w:val="22"/>
          <w:szCs w:val="22"/>
        </w:rPr>
        <w:t>An Act relative to parity implementation.</w:t>
      </w:r>
    </w:p>
    <w:p w14:paraId="6F3922FE" w14:textId="77777777" w:rsidR="00F91BCB" w:rsidRPr="006C4CFB" w:rsidRDefault="00F91BCB" w:rsidP="006239B2">
      <w:pPr>
        <w:rPr>
          <w:rFonts w:ascii="Times" w:eastAsia="Times New Roman" w:hAnsi="Times" w:cs="Times New Roman"/>
          <w:sz w:val="22"/>
          <w:szCs w:val="22"/>
        </w:rPr>
      </w:pPr>
    </w:p>
    <w:p w14:paraId="2C01CF0A" w14:textId="77777777" w:rsidR="00F91BCB" w:rsidRPr="00A84F7E" w:rsidRDefault="00F91BCB" w:rsidP="00F91BCB">
      <w:pPr>
        <w:rPr>
          <w:rFonts w:ascii="Times" w:eastAsia="Times New Roman" w:hAnsi="Times" w:cs="Times New Roman"/>
          <w:i/>
          <w:sz w:val="22"/>
          <w:szCs w:val="22"/>
        </w:rPr>
      </w:pPr>
      <w:r w:rsidRPr="00A84F7E">
        <w:rPr>
          <w:rFonts w:ascii="Times" w:eastAsia="Times New Roman" w:hAnsi="Times" w:cs="Times New Roman"/>
          <w:i/>
          <w:sz w:val="22"/>
          <w:szCs w:val="22"/>
        </w:rPr>
        <w:t>Be it enacted by the Senate and House of Representatives in General Court assembled, and by the authority of the same, as follows:</w:t>
      </w:r>
    </w:p>
    <w:p w14:paraId="642BB6BD" w14:textId="77777777" w:rsidR="00F91BCB" w:rsidRPr="006C4CFB" w:rsidRDefault="00F91BCB" w:rsidP="00F91BCB">
      <w:pPr>
        <w:rPr>
          <w:rFonts w:ascii="Times" w:eastAsia="Times New Roman" w:hAnsi="Times" w:cs="Times New Roman"/>
          <w:sz w:val="22"/>
          <w:szCs w:val="22"/>
        </w:rPr>
      </w:pPr>
    </w:p>
    <w:p w14:paraId="7C0E6CE3" w14:textId="0D9B1885" w:rsidR="00F91BCB" w:rsidRPr="006C4CFB" w:rsidRDefault="00F91BCB" w:rsidP="00F91BCB">
      <w:pPr>
        <w:rPr>
          <w:rFonts w:ascii="Times" w:eastAsia="Times New Roman" w:hAnsi="Times" w:cs="Times New Roman"/>
          <w:sz w:val="22"/>
          <w:szCs w:val="22"/>
        </w:rPr>
      </w:pPr>
      <w:r w:rsidRPr="006C4CFB">
        <w:rPr>
          <w:rFonts w:ascii="Times" w:eastAsia="Times New Roman" w:hAnsi="Times" w:cs="Times New Roman"/>
          <w:sz w:val="22"/>
          <w:szCs w:val="22"/>
        </w:rPr>
        <w:tab/>
        <w:t>SECTION 1. Chapter 26 of the General Laws is hereby amended by inserting after Section 8L the following section:-</w:t>
      </w:r>
    </w:p>
    <w:p w14:paraId="12086449" w14:textId="5396D156" w:rsidR="00F91BCB" w:rsidRDefault="00F91BCB" w:rsidP="00F91BCB">
      <w:pPr>
        <w:rPr>
          <w:rFonts w:ascii="Times" w:eastAsia="Times New Roman" w:hAnsi="Times" w:cs="Times New Roman"/>
          <w:sz w:val="22"/>
          <w:szCs w:val="22"/>
        </w:rPr>
      </w:pPr>
      <w:r w:rsidRPr="006C4CFB">
        <w:rPr>
          <w:rFonts w:ascii="Times" w:eastAsia="Times New Roman" w:hAnsi="Times" w:cs="Times New Roman"/>
          <w:sz w:val="22"/>
          <w:szCs w:val="22"/>
        </w:rPr>
        <w:tab/>
        <w:t xml:space="preserve">8M: </w:t>
      </w:r>
      <w:r w:rsidR="006C4CFB" w:rsidRPr="006C4CFB">
        <w:rPr>
          <w:rFonts w:ascii="Times" w:eastAsia="Times New Roman" w:hAnsi="Times" w:cs="Times New Roman"/>
          <w:sz w:val="22"/>
          <w:szCs w:val="22"/>
        </w:rPr>
        <w:t>All carriers licensed under chapters 175, 176A, 176B and 176G that provide mental health or substance abuse disorder benefits</w:t>
      </w:r>
      <w:r w:rsidR="00310E90">
        <w:rPr>
          <w:rFonts w:ascii="Times" w:eastAsia="Times New Roman" w:hAnsi="Times" w:cs="Times New Roman"/>
          <w:sz w:val="22"/>
          <w:szCs w:val="22"/>
        </w:rPr>
        <w:t xml:space="preserve"> </w:t>
      </w:r>
      <w:r w:rsidR="006C4CFB" w:rsidRPr="006C4CFB">
        <w:rPr>
          <w:rFonts w:ascii="Times" w:eastAsia="Times New Roman" w:hAnsi="Times" w:cs="Times New Roman"/>
          <w:sz w:val="22"/>
          <w:szCs w:val="22"/>
        </w:rPr>
        <w:t xml:space="preserve">shall submit an annual report to the </w:t>
      </w:r>
      <w:r w:rsidR="006C4CFB">
        <w:rPr>
          <w:rFonts w:ascii="Times" w:eastAsia="Times New Roman" w:hAnsi="Times" w:cs="Times New Roman"/>
          <w:sz w:val="22"/>
          <w:szCs w:val="22"/>
        </w:rPr>
        <w:t>commissioner or insurance</w:t>
      </w:r>
      <w:r w:rsidR="006C4CFB" w:rsidRPr="006C4CFB">
        <w:rPr>
          <w:rFonts w:ascii="Times" w:eastAsia="Times New Roman" w:hAnsi="Times" w:cs="Times New Roman"/>
          <w:sz w:val="22"/>
          <w:szCs w:val="22"/>
        </w:rPr>
        <w:t xml:space="preserve"> on or before </w:t>
      </w:r>
      <w:r w:rsidR="006C4CFB">
        <w:rPr>
          <w:rFonts w:ascii="Times" w:eastAsia="Times New Roman" w:hAnsi="Times" w:cs="Times New Roman"/>
          <w:sz w:val="22"/>
          <w:szCs w:val="22"/>
        </w:rPr>
        <w:t>January 31</w:t>
      </w:r>
      <w:r w:rsidR="006C4CFB" w:rsidRPr="006C4CFB">
        <w:rPr>
          <w:rFonts w:ascii="Times" w:eastAsia="Times New Roman" w:hAnsi="Times" w:cs="Times New Roman"/>
          <w:sz w:val="22"/>
          <w:szCs w:val="22"/>
          <w:vertAlign w:val="superscript"/>
        </w:rPr>
        <w:t>st</w:t>
      </w:r>
      <w:r w:rsidR="006C4CFB">
        <w:rPr>
          <w:rFonts w:ascii="Times" w:eastAsia="Times New Roman" w:hAnsi="Times" w:cs="Times New Roman"/>
          <w:sz w:val="22"/>
          <w:szCs w:val="22"/>
        </w:rPr>
        <w:t xml:space="preserve">, </w:t>
      </w:r>
      <w:r w:rsidR="006C4CFB" w:rsidRPr="006C4CFB">
        <w:rPr>
          <w:rFonts w:ascii="Times" w:eastAsia="Times New Roman" w:hAnsi="Times" w:cs="Times New Roman"/>
          <w:sz w:val="22"/>
          <w:szCs w:val="22"/>
        </w:rPr>
        <w:t>that contains the following information:</w:t>
      </w:r>
    </w:p>
    <w:p w14:paraId="2FFEEE74" w14:textId="42CA385D" w:rsidR="006C4CFB" w:rsidRPr="006C4CFB" w:rsidRDefault="006C4CFB" w:rsidP="006C4CFB">
      <w:pPr>
        <w:rPr>
          <w:rFonts w:ascii="Times" w:eastAsia="Times New Roman" w:hAnsi="Times" w:cs="Times New Roman"/>
          <w:sz w:val="22"/>
          <w:szCs w:val="22"/>
        </w:rPr>
      </w:pPr>
      <w:r>
        <w:rPr>
          <w:rFonts w:ascii="Times" w:eastAsia="Times New Roman" w:hAnsi="Times" w:cs="Times New Roman"/>
          <w:sz w:val="22"/>
          <w:szCs w:val="22"/>
        </w:rPr>
        <w:tab/>
        <w:t xml:space="preserve">(a) </w:t>
      </w:r>
      <w:r w:rsidRPr="006C4CFB">
        <w:rPr>
          <w:rFonts w:ascii="Times" w:eastAsia="Times New Roman" w:hAnsi="Times" w:cs="Times New Roman"/>
          <w:sz w:val="22"/>
          <w:szCs w:val="22"/>
        </w:rPr>
        <w:t xml:space="preserve">A description of the process used to develop or select the medical necessity criteria for mental health and substance </w:t>
      </w:r>
      <w:r w:rsidR="00EB7A44">
        <w:rPr>
          <w:rFonts w:ascii="Times" w:eastAsia="Times New Roman" w:hAnsi="Times" w:cs="Times New Roman"/>
          <w:sz w:val="22"/>
          <w:szCs w:val="22"/>
        </w:rPr>
        <w:t>abuse</w:t>
      </w:r>
      <w:r w:rsidRPr="006C4CFB">
        <w:rPr>
          <w:rFonts w:ascii="Times" w:eastAsia="Times New Roman" w:hAnsi="Times" w:cs="Times New Roman"/>
          <w:sz w:val="22"/>
          <w:szCs w:val="22"/>
        </w:rPr>
        <w:t xml:space="preserve"> disorder benefits and the process used to develop or select the medical necessity criteria for medical and surgical benefits. </w:t>
      </w:r>
    </w:p>
    <w:p w14:paraId="620EA83D" w14:textId="2250A1CF" w:rsidR="006C4CFB" w:rsidRPr="006C4CFB" w:rsidRDefault="006C4CFB" w:rsidP="006C4CFB">
      <w:pPr>
        <w:ind w:firstLine="720"/>
        <w:rPr>
          <w:rFonts w:ascii="Times" w:eastAsia="Times New Roman" w:hAnsi="Times" w:cs="Times New Roman"/>
          <w:sz w:val="22"/>
          <w:szCs w:val="22"/>
        </w:rPr>
      </w:pPr>
      <w:r>
        <w:rPr>
          <w:rFonts w:ascii="Times" w:eastAsia="Times New Roman" w:hAnsi="Times" w:cs="Times New Roman"/>
          <w:sz w:val="22"/>
          <w:szCs w:val="22"/>
        </w:rPr>
        <w:t xml:space="preserve">(b) </w:t>
      </w:r>
      <w:r w:rsidRPr="006C4CFB">
        <w:rPr>
          <w:rFonts w:ascii="Times" w:eastAsia="Times New Roman" w:hAnsi="Times" w:cs="Times New Roman"/>
          <w:sz w:val="22"/>
          <w:szCs w:val="22"/>
        </w:rPr>
        <w:t xml:space="preserve">Identification of all non-quantitative treatment limitations (NQTLs) that are applied to both mental health and substance </w:t>
      </w:r>
      <w:r w:rsidR="00310E90">
        <w:rPr>
          <w:rFonts w:ascii="Times" w:eastAsia="Times New Roman" w:hAnsi="Times" w:cs="Times New Roman"/>
          <w:sz w:val="22"/>
          <w:szCs w:val="22"/>
        </w:rPr>
        <w:t>abuse</w:t>
      </w:r>
      <w:r w:rsidRPr="006C4CFB">
        <w:rPr>
          <w:rFonts w:ascii="Times" w:eastAsia="Times New Roman" w:hAnsi="Times" w:cs="Times New Roman"/>
          <w:sz w:val="22"/>
          <w:szCs w:val="22"/>
        </w:rPr>
        <w:t xml:space="preserve"> disorder benefits and medical and surgical benefits within each classification of benefits; there may be no separate NQTLs that apply to mental health and substance </w:t>
      </w:r>
      <w:r w:rsidR="00310E90">
        <w:rPr>
          <w:rFonts w:ascii="Times" w:eastAsia="Times New Roman" w:hAnsi="Times" w:cs="Times New Roman"/>
          <w:sz w:val="22"/>
          <w:szCs w:val="22"/>
        </w:rPr>
        <w:t>abuse</w:t>
      </w:r>
      <w:r w:rsidRPr="006C4CFB">
        <w:rPr>
          <w:rFonts w:ascii="Times" w:eastAsia="Times New Roman" w:hAnsi="Times" w:cs="Times New Roman"/>
          <w:sz w:val="22"/>
          <w:szCs w:val="22"/>
        </w:rPr>
        <w:t xml:space="preserve"> disorder benefits but do not apply to medical and surgical benefits within any classification of benefits.</w:t>
      </w:r>
    </w:p>
    <w:p w14:paraId="67590CAA" w14:textId="194E5F9F" w:rsidR="006C4CFB" w:rsidRDefault="006C4CFB" w:rsidP="006C4CFB">
      <w:pPr>
        <w:ind w:firstLine="720"/>
        <w:rPr>
          <w:rFonts w:ascii="Times" w:eastAsia="Times New Roman" w:hAnsi="Times" w:cs="Times New Roman"/>
          <w:sz w:val="22"/>
          <w:szCs w:val="22"/>
        </w:rPr>
      </w:pPr>
      <w:r>
        <w:rPr>
          <w:rFonts w:ascii="Times" w:eastAsia="Times New Roman" w:hAnsi="Times" w:cs="Times New Roman"/>
          <w:sz w:val="22"/>
          <w:szCs w:val="22"/>
        </w:rPr>
        <w:t xml:space="preserve">(c) </w:t>
      </w:r>
      <w:r w:rsidRPr="006C4CFB">
        <w:rPr>
          <w:rFonts w:ascii="Times" w:eastAsia="Times New Roman" w:hAnsi="Times" w:cs="Times New Roman"/>
          <w:sz w:val="22"/>
          <w:szCs w:val="22"/>
        </w:rPr>
        <w:t xml:space="preserve">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w:t>
      </w:r>
      <w:r w:rsidR="003F3C51">
        <w:rPr>
          <w:rFonts w:ascii="Times" w:eastAsia="Times New Roman" w:hAnsi="Times" w:cs="Times New Roman"/>
          <w:sz w:val="22"/>
          <w:szCs w:val="22"/>
        </w:rPr>
        <w:t>abuse</w:t>
      </w:r>
      <w:r w:rsidRPr="006C4CFB">
        <w:rPr>
          <w:rFonts w:ascii="Times" w:eastAsia="Times New Roman" w:hAnsi="Times" w:cs="Times New Roman"/>
          <w:sz w:val="22"/>
          <w:szCs w:val="22"/>
        </w:rPr>
        <w:t xml:space="preserv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6D9DA11D" w14:textId="2C41B981" w:rsidR="00F947EE" w:rsidRPr="00F947EE" w:rsidRDefault="00F947EE" w:rsidP="00F947EE">
      <w:pPr>
        <w:ind w:firstLine="720"/>
        <w:rPr>
          <w:rFonts w:ascii="Times" w:eastAsia="Times New Roman" w:hAnsi="Times" w:cs="Times New Roman"/>
          <w:sz w:val="22"/>
          <w:szCs w:val="22"/>
        </w:rPr>
      </w:pPr>
      <w:r>
        <w:rPr>
          <w:rFonts w:ascii="Times" w:eastAsia="Times New Roman" w:hAnsi="Times" w:cs="Times New Roman"/>
          <w:sz w:val="22"/>
          <w:szCs w:val="22"/>
        </w:rPr>
        <w:tab/>
        <w:t xml:space="preserve">(1) </w:t>
      </w:r>
      <w:r w:rsidRPr="00F947EE">
        <w:rPr>
          <w:rFonts w:ascii="Times" w:eastAsia="Times New Roman" w:hAnsi="Times" w:cs="Times New Roman"/>
          <w:sz w:val="22"/>
          <w:szCs w:val="22"/>
        </w:rPr>
        <w:t>Identify the factors used to determine that an NQTL will apply to a benefit, including factors that were considered but rejected</w:t>
      </w:r>
      <w:r w:rsidR="00B41AF0">
        <w:rPr>
          <w:rFonts w:ascii="Times" w:eastAsia="Times New Roman" w:hAnsi="Times" w:cs="Times New Roman"/>
          <w:sz w:val="22"/>
          <w:szCs w:val="22"/>
        </w:rPr>
        <w:t>.</w:t>
      </w:r>
    </w:p>
    <w:p w14:paraId="533ABDC2" w14:textId="70766426" w:rsidR="00F947EE" w:rsidRPr="00F947EE" w:rsidRDefault="00F947EE" w:rsidP="00F947EE">
      <w:pPr>
        <w:ind w:firstLine="720"/>
        <w:rPr>
          <w:rFonts w:ascii="Times" w:eastAsia="Times New Roman" w:hAnsi="Times" w:cs="Times New Roman"/>
          <w:sz w:val="22"/>
          <w:szCs w:val="22"/>
        </w:rPr>
      </w:pPr>
      <w:r>
        <w:rPr>
          <w:rFonts w:ascii="Times" w:eastAsia="Times New Roman" w:hAnsi="Times" w:cs="Times New Roman"/>
          <w:sz w:val="22"/>
          <w:szCs w:val="22"/>
        </w:rPr>
        <w:tab/>
        <w:t xml:space="preserve">(2) </w:t>
      </w:r>
      <w:r w:rsidRPr="00F947EE">
        <w:rPr>
          <w:rFonts w:ascii="Times" w:eastAsia="Times New Roman" w:hAnsi="Times" w:cs="Times New Roman"/>
          <w:sz w:val="22"/>
          <w:szCs w:val="22"/>
        </w:rPr>
        <w:t>Identify and define the specific evidentia</w:t>
      </w:r>
      <w:r>
        <w:rPr>
          <w:rFonts w:ascii="Times" w:eastAsia="Times New Roman" w:hAnsi="Times" w:cs="Times New Roman"/>
          <w:sz w:val="22"/>
          <w:szCs w:val="22"/>
        </w:rPr>
        <w:t xml:space="preserve">ry standards used to define the </w:t>
      </w:r>
      <w:r w:rsidRPr="00F947EE">
        <w:rPr>
          <w:rFonts w:ascii="Times" w:eastAsia="Times New Roman" w:hAnsi="Times" w:cs="Times New Roman"/>
          <w:sz w:val="22"/>
          <w:szCs w:val="22"/>
        </w:rPr>
        <w:t>factors and any other evidence relied upon in designing each NQTL</w:t>
      </w:r>
      <w:r w:rsidR="00B41AF0">
        <w:rPr>
          <w:rFonts w:ascii="Times" w:eastAsia="Times New Roman" w:hAnsi="Times" w:cs="Times New Roman"/>
          <w:sz w:val="22"/>
          <w:szCs w:val="22"/>
        </w:rPr>
        <w:t>.</w:t>
      </w:r>
    </w:p>
    <w:p w14:paraId="0F8EAECB" w14:textId="6B5E2CDD" w:rsidR="00F947EE" w:rsidRPr="00F947EE" w:rsidRDefault="00F947EE" w:rsidP="00F947EE">
      <w:pPr>
        <w:ind w:firstLine="720"/>
        <w:rPr>
          <w:rFonts w:ascii="Times" w:eastAsia="Times New Roman" w:hAnsi="Times" w:cs="Times New Roman"/>
          <w:sz w:val="22"/>
          <w:szCs w:val="22"/>
        </w:rPr>
      </w:pPr>
      <w:r>
        <w:rPr>
          <w:rFonts w:ascii="Times" w:eastAsia="Times New Roman" w:hAnsi="Times" w:cs="Times New Roman"/>
          <w:sz w:val="22"/>
          <w:szCs w:val="22"/>
        </w:rPr>
        <w:tab/>
        <w:t xml:space="preserve">(3) </w:t>
      </w:r>
      <w:r w:rsidRPr="00F947EE">
        <w:rPr>
          <w:rFonts w:ascii="Times" w:eastAsia="Times New Roman" w:hAnsi="Times" w:cs="Times New Roman"/>
          <w:sz w:val="22"/>
          <w:szCs w:val="22"/>
        </w:rPr>
        <w:t xml:space="preserve">Provide the comparative analyses, including the results of the analyses, performed to determine that the processes and strategies used to design each NQTL, as written, and the as written processes and strategies used to apply the NQTL to mental health and substance </w:t>
      </w:r>
      <w:r w:rsidR="00B41AF0">
        <w:rPr>
          <w:rFonts w:ascii="Times" w:eastAsia="Times New Roman" w:hAnsi="Times" w:cs="Times New Roman"/>
          <w:sz w:val="22"/>
          <w:szCs w:val="22"/>
        </w:rPr>
        <w:t>abuse</w:t>
      </w:r>
      <w:r w:rsidRPr="00F947EE">
        <w:rPr>
          <w:rFonts w:ascii="Times" w:eastAsia="Times New Roman" w:hAnsi="Times" w:cs="Times New Roman"/>
          <w:sz w:val="22"/>
          <w:szCs w:val="22"/>
        </w:rPr>
        <w:t xml:space="preserve"> disorder benefits are comparable to, and are applied no more stringently than, the processes and strategies used to design each NQTL, as written, and the as written processes and strategies used to apply the NQTL to medical and surgical benefits</w:t>
      </w:r>
      <w:r w:rsidR="00B41AF0">
        <w:rPr>
          <w:rFonts w:ascii="Times" w:eastAsia="Times New Roman" w:hAnsi="Times" w:cs="Times New Roman"/>
          <w:sz w:val="22"/>
          <w:szCs w:val="22"/>
        </w:rPr>
        <w:t>.</w:t>
      </w:r>
    </w:p>
    <w:p w14:paraId="6FD46A20" w14:textId="0476F57D" w:rsidR="00F947EE" w:rsidRPr="00F947EE" w:rsidRDefault="00D96E59" w:rsidP="00F947EE">
      <w:pPr>
        <w:ind w:firstLine="720"/>
        <w:rPr>
          <w:rFonts w:ascii="Times" w:eastAsia="Times New Roman" w:hAnsi="Times" w:cs="Times New Roman"/>
          <w:sz w:val="22"/>
          <w:szCs w:val="22"/>
        </w:rPr>
      </w:pPr>
      <w:r>
        <w:rPr>
          <w:rFonts w:ascii="Times" w:eastAsia="Times New Roman" w:hAnsi="Times" w:cs="Times New Roman"/>
          <w:sz w:val="22"/>
          <w:szCs w:val="22"/>
        </w:rPr>
        <w:lastRenderedPageBreak/>
        <w:tab/>
        <w:t>(</w:t>
      </w:r>
      <w:r w:rsidR="00F947EE">
        <w:rPr>
          <w:rFonts w:ascii="Times" w:eastAsia="Times New Roman" w:hAnsi="Times" w:cs="Times New Roman"/>
          <w:sz w:val="22"/>
          <w:szCs w:val="22"/>
        </w:rPr>
        <w:t xml:space="preserve">4) </w:t>
      </w:r>
      <w:r w:rsidR="00F947EE" w:rsidRPr="00F947EE">
        <w:rPr>
          <w:rFonts w:ascii="Times" w:eastAsia="Times New Roman" w:hAnsi="Times" w:cs="Times New Roman"/>
          <w:sz w:val="22"/>
          <w:szCs w:val="22"/>
        </w:rPr>
        <w:t xml:space="preserve">Provide the comparative analyses, including the results of the analyses, performed to determine that the processes and strategies used to apply each NQTL, in operation, for mental health and substance </w:t>
      </w:r>
      <w:r w:rsidR="00C81460">
        <w:rPr>
          <w:rFonts w:ascii="Times" w:eastAsia="Times New Roman" w:hAnsi="Times" w:cs="Times New Roman"/>
          <w:sz w:val="22"/>
          <w:szCs w:val="22"/>
        </w:rPr>
        <w:t>abuse</w:t>
      </w:r>
      <w:r w:rsidR="00F947EE" w:rsidRPr="00F947EE">
        <w:rPr>
          <w:rFonts w:ascii="Times" w:eastAsia="Times New Roman" w:hAnsi="Times" w:cs="Times New Roman"/>
          <w:sz w:val="22"/>
          <w:szCs w:val="22"/>
        </w:rPr>
        <w:t xml:space="preserve"> disorder benefits are comparable to, and applied no more stringently than, the processes or strategies used to apply each NQTL, in operation, for medical and surgical benefits</w:t>
      </w:r>
      <w:r w:rsidR="00B41AF0">
        <w:rPr>
          <w:rFonts w:ascii="Times" w:eastAsia="Times New Roman" w:hAnsi="Times" w:cs="Times New Roman"/>
          <w:sz w:val="22"/>
          <w:szCs w:val="22"/>
        </w:rPr>
        <w:t>.</w:t>
      </w:r>
    </w:p>
    <w:p w14:paraId="42F8394C" w14:textId="135C0AB5" w:rsidR="00F947EE" w:rsidRDefault="00D96E59" w:rsidP="00F947EE">
      <w:pPr>
        <w:ind w:firstLine="720"/>
        <w:rPr>
          <w:rFonts w:ascii="Times" w:eastAsia="Times New Roman" w:hAnsi="Times" w:cs="Times New Roman"/>
          <w:sz w:val="22"/>
          <w:szCs w:val="22"/>
        </w:rPr>
      </w:pPr>
      <w:r>
        <w:rPr>
          <w:rFonts w:ascii="Times" w:eastAsia="Times New Roman" w:hAnsi="Times" w:cs="Times New Roman"/>
          <w:sz w:val="22"/>
          <w:szCs w:val="22"/>
        </w:rPr>
        <w:tab/>
        <w:t>(</w:t>
      </w:r>
      <w:r w:rsidR="00F947EE">
        <w:rPr>
          <w:rFonts w:ascii="Times" w:eastAsia="Times New Roman" w:hAnsi="Times" w:cs="Times New Roman"/>
          <w:sz w:val="22"/>
          <w:szCs w:val="22"/>
        </w:rPr>
        <w:t xml:space="preserve">5) </w:t>
      </w:r>
      <w:r w:rsidR="00F947EE" w:rsidRPr="00F947EE">
        <w:rPr>
          <w:rFonts w:ascii="Times" w:eastAsia="Times New Roman" w:hAnsi="Times" w:cs="Times New Roman"/>
          <w:sz w:val="22"/>
          <w:szCs w:val="22"/>
        </w:rPr>
        <w:t xml:space="preserve">Disclose the specific findings and conclusions reached by the </w:t>
      </w:r>
      <w:r w:rsidR="008C45A2">
        <w:rPr>
          <w:rFonts w:ascii="Times" w:eastAsia="Times New Roman" w:hAnsi="Times" w:cs="Times New Roman"/>
          <w:sz w:val="22"/>
          <w:szCs w:val="22"/>
        </w:rPr>
        <w:t>carrier</w:t>
      </w:r>
      <w:r w:rsidR="00F947EE" w:rsidRPr="00F947EE">
        <w:rPr>
          <w:rFonts w:ascii="Times" w:eastAsia="Times New Roman" w:hAnsi="Times" w:cs="Times New Roman"/>
          <w:sz w:val="22"/>
          <w:szCs w:val="22"/>
        </w:rPr>
        <w:t xml:space="preserve"> that the results of the analyses above indicate that the </w:t>
      </w:r>
      <w:r w:rsidR="008C45A2">
        <w:rPr>
          <w:rFonts w:ascii="Times" w:eastAsia="Times New Roman" w:hAnsi="Times" w:cs="Times New Roman"/>
          <w:sz w:val="22"/>
          <w:szCs w:val="22"/>
        </w:rPr>
        <w:t>carrier</w:t>
      </w:r>
      <w:bookmarkStart w:id="0" w:name="_GoBack"/>
      <w:bookmarkEnd w:id="0"/>
      <w:r w:rsidR="00F947EE" w:rsidRPr="00F947EE">
        <w:rPr>
          <w:rFonts w:ascii="Times" w:eastAsia="Times New Roman" w:hAnsi="Times" w:cs="Times New Roman"/>
          <w:sz w:val="22"/>
          <w:szCs w:val="22"/>
        </w:rPr>
        <w:t xml:space="preserve"> is in compliance with this section and the Mental Health Parity and Addiction Equity Act of 2008 and its implementing and related regulations, which includes 45 CFR 146.136, 45 CFR 147.160, and 45 CFR 156.115(a)(3).</w:t>
      </w:r>
    </w:p>
    <w:p w14:paraId="255DD29B" w14:textId="77777777" w:rsidR="00202113" w:rsidRDefault="00202113"/>
    <w:sectPr w:rsidR="00202113"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4940" w14:textId="77777777" w:rsidR="00A84F7E" w:rsidRDefault="00A84F7E" w:rsidP="00BB60FD">
      <w:r>
        <w:separator/>
      </w:r>
    </w:p>
  </w:endnote>
  <w:endnote w:type="continuationSeparator" w:id="0">
    <w:p w14:paraId="3832A207" w14:textId="77777777" w:rsidR="00A84F7E" w:rsidRDefault="00A84F7E" w:rsidP="00BB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544D4" w14:textId="77777777" w:rsidR="00A84F7E" w:rsidRDefault="00A84F7E" w:rsidP="00BB60FD">
      <w:r>
        <w:separator/>
      </w:r>
    </w:p>
  </w:footnote>
  <w:footnote w:type="continuationSeparator" w:id="0">
    <w:p w14:paraId="15C22FF7" w14:textId="77777777" w:rsidR="00A84F7E" w:rsidRDefault="00A84F7E" w:rsidP="00BB60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020C" w14:textId="65244A8C" w:rsidR="00A84F7E" w:rsidRDefault="00A84F7E">
    <w:pPr>
      <w:pStyle w:val="Header"/>
    </w:pPr>
    <w:r>
      <w:t>SENATE</w:t>
    </w:r>
    <w:r>
      <w:tab/>
    </w:r>
    <w:r w:rsidR="004E7602">
      <w:t xml:space="preserve">  </w:t>
    </w:r>
    <w:r w:rsidR="004E7602" w:rsidRPr="004E7602">
      <w:rPr>
        <w:sz w:val="72"/>
        <w:szCs w:val="72"/>
      </w:rPr>
      <w:t>. . . . . . . . . . . . . . . .</w:t>
    </w:r>
    <w:r w:rsidR="004E7602">
      <w:rPr>
        <w:sz w:val="72"/>
        <w:szCs w:val="72"/>
      </w:rPr>
      <w:t xml:space="preserve"> . . . . . . . . . </w:t>
    </w:r>
    <w:r>
      <w:tab/>
    </w:r>
    <w:r>
      <w:tab/>
      <w:t>No.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FD"/>
    <w:rsid w:val="00065229"/>
    <w:rsid w:val="00195930"/>
    <w:rsid w:val="001D41D8"/>
    <w:rsid w:val="00202113"/>
    <w:rsid w:val="00217D7E"/>
    <w:rsid w:val="00271F2A"/>
    <w:rsid w:val="002825F9"/>
    <w:rsid w:val="00310E90"/>
    <w:rsid w:val="003419A3"/>
    <w:rsid w:val="003D2620"/>
    <w:rsid w:val="003E7C9F"/>
    <w:rsid w:val="003F3C51"/>
    <w:rsid w:val="004B6F70"/>
    <w:rsid w:val="004D252E"/>
    <w:rsid w:val="004D7BDD"/>
    <w:rsid w:val="004E7602"/>
    <w:rsid w:val="005236D6"/>
    <w:rsid w:val="00565B3B"/>
    <w:rsid w:val="00595800"/>
    <w:rsid w:val="005A1F61"/>
    <w:rsid w:val="006239B2"/>
    <w:rsid w:val="006C4CFB"/>
    <w:rsid w:val="007972BE"/>
    <w:rsid w:val="007D50AF"/>
    <w:rsid w:val="00832258"/>
    <w:rsid w:val="00844BDF"/>
    <w:rsid w:val="008464DF"/>
    <w:rsid w:val="008A7C1B"/>
    <w:rsid w:val="008C45A2"/>
    <w:rsid w:val="008C720E"/>
    <w:rsid w:val="009236DA"/>
    <w:rsid w:val="00A179B1"/>
    <w:rsid w:val="00A74922"/>
    <w:rsid w:val="00A84F7E"/>
    <w:rsid w:val="00A950A9"/>
    <w:rsid w:val="00AE2050"/>
    <w:rsid w:val="00B3182B"/>
    <w:rsid w:val="00B41AF0"/>
    <w:rsid w:val="00BA0E13"/>
    <w:rsid w:val="00BB60FD"/>
    <w:rsid w:val="00C23962"/>
    <w:rsid w:val="00C63DFE"/>
    <w:rsid w:val="00C81460"/>
    <w:rsid w:val="00CF0011"/>
    <w:rsid w:val="00D16AF0"/>
    <w:rsid w:val="00D57308"/>
    <w:rsid w:val="00D96E59"/>
    <w:rsid w:val="00E4438B"/>
    <w:rsid w:val="00E767AD"/>
    <w:rsid w:val="00EB7A44"/>
    <w:rsid w:val="00F07AD4"/>
    <w:rsid w:val="00F91BCB"/>
    <w:rsid w:val="00F94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276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0FD"/>
    <w:pPr>
      <w:tabs>
        <w:tab w:val="center" w:pos="4320"/>
        <w:tab w:val="right" w:pos="8640"/>
      </w:tabs>
    </w:pPr>
  </w:style>
  <w:style w:type="character" w:customStyle="1" w:styleId="HeaderChar">
    <w:name w:val="Header Char"/>
    <w:basedOn w:val="DefaultParagraphFont"/>
    <w:link w:val="Header"/>
    <w:uiPriority w:val="99"/>
    <w:rsid w:val="00BB60FD"/>
  </w:style>
  <w:style w:type="paragraph" w:styleId="Footer">
    <w:name w:val="footer"/>
    <w:basedOn w:val="Normal"/>
    <w:link w:val="FooterChar"/>
    <w:uiPriority w:val="99"/>
    <w:unhideWhenUsed/>
    <w:rsid w:val="00BB60FD"/>
    <w:pPr>
      <w:tabs>
        <w:tab w:val="center" w:pos="4320"/>
        <w:tab w:val="right" w:pos="8640"/>
      </w:tabs>
    </w:pPr>
  </w:style>
  <w:style w:type="character" w:customStyle="1" w:styleId="FooterChar">
    <w:name w:val="Footer Char"/>
    <w:basedOn w:val="DefaultParagraphFont"/>
    <w:link w:val="Footer"/>
    <w:uiPriority w:val="99"/>
    <w:rsid w:val="00BB60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0FD"/>
    <w:pPr>
      <w:tabs>
        <w:tab w:val="center" w:pos="4320"/>
        <w:tab w:val="right" w:pos="8640"/>
      </w:tabs>
    </w:pPr>
  </w:style>
  <w:style w:type="character" w:customStyle="1" w:styleId="HeaderChar">
    <w:name w:val="Header Char"/>
    <w:basedOn w:val="DefaultParagraphFont"/>
    <w:link w:val="Header"/>
    <w:uiPriority w:val="99"/>
    <w:rsid w:val="00BB60FD"/>
  </w:style>
  <w:style w:type="paragraph" w:styleId="Footer">
    <w:name w:val="footer"/>
    <w:basedOn w:val="Normal"/>
    <w:link w:val="FooterChar"/>
    <w:uiPriority w:val="99"/>
    <w:unhideWhenUsed/>
    <w:rsid w:val="00BB60FD"/>
    <w:pPr>
      <w:tabs>
        <w:tab w:val="center" w:pos="4320"/>
        <w:tab w:val="right" w:pos="8640"/>
      </w:tabs>
    </w:pPr>
  </w:style>
  <w:style w:type="character" w:customStyle="1" w:styleId="FooterChar">
    <w:name w:val="Footer Char"/>
    <w:basedOn w:val="DefaultParagraphFont"/>
    <w:link w:val="Footer"/>
    <w:uiPriority w:val="99"/>
    <w:rsid w:val="00BB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744">
      <w:bodyDiv w:val="1"/>
      <w:marLeft w:val="0"/>
      <w:marRight w:val="0"/>
      <w:marTop w:val="0"/>
      <w:marBottom w:val="0"/>
      <w:divBdr>
        <w:top w:val="none" w:sz="0" w:space="0" w:color="auto"/>
        <w:left w:val="none" w:sz="0" w:space="0" w:color="auto"/>
        <w:bottom w:val="none" w:sz="0" w:space="0" w:color="auto"/>
        <w:right w:val="none" w:sz="0" w:space="0" w:color="auto"/>
      </w:divBdr>
    </w:div>
    <w:div w:id="407001482">
      <w:bodyDiv w:val="1"/>
      <w:marLeft w:val="0"/>
      <w:marRight w:val="0"/>
      <w:marTop w:val="0"/>
      <w:marBottom w:val="0"/>
      <w:divBdr>
        <w:top w:val="none" w:sz="0" w:space="0" w:color="auto"/>
        <w:left w:val="none" w:sz="0" w:space="0" w:color="auto"/>
        <w:bottom w:val="none" w:sz="0" w:space="0" w:color="auto"/>
        <w:right w:val="none" w:sz="0" w:space="0" w:color="auto"/>
      </w:divBdr>
    </w:div>
    <w:div w:id="782725795">
      <w:bodyDiv w:val="1"/>
      <w:marLeft w:val="0"/>
      <w:marRight w:val="0"/>
      <w:marTop w:val="0"/>
      <w:marBottom w:val="0"/>
      <w:divBdr>
        <w:top w:val="none" w:sz="0" w:space="0" w:color="auto"/>
        <w:left w:val="none" w:sz="0" w:space="0" w:color="auto"/>
        <w:bottom w:val="none" w:sz="0" w:space="0" w:color="auto"/>
        <w:right w:val="none" w:sz="0" w:space="0" w:color="auto"/>
      </w:divBdr>
    </w:div>
    <w:div w:id="1327511620">
      <w:bodyDiv w:val="1"/>
      <w:marLeft w:val="0"/>
      <w:marRight w:val="0"/>
      <w:marTop w:val="0"/>
      <w:marBottom w:val="0"/>
      <w:divBdr>
        <w:top w:val="none" w:sz="0" w:space="0" w:color="auto"/>
        <w:left w:val="none" w:sz="0" w:space="0" w:color="auto"/>
        <w:bottom w:val="none" w:sz="0" w:space="0" w:color="auto"/>
        <w:right w:val="none" w:sz="0" w:space="0" w:color="auto"/>
      </w:divBdr>
    </w:div>
    <w:div w:id="1616448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16C5160-34C0-1B4F-976A-9EF49685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3249</Characters>
  <Application>Microsoft Macintosh Word</Application>
  <DocSecurity>0</DocSecurity>
  <Lines>27</Lines>
  <Paragraphs>7</Paragraphs>
  <ScaleCrop>false</ScaleCrop>
  <Company>Scattergood Foundation</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2018-08-14T18:05:00Z</dcterms:created>
  <dcterms:modified xsi:type="dcterms:W3CDTF">2018-09-08T01:15:00Z</dcterms:modified>
</cp:coreProperties>
</file>