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5690D" w14:textId="77777777" w:rsidR="00881470" w:rsidRDefault="00881470">
      <w:pPr>
        <w:rPr>
          <w:rFonts w:ascii="Arial" w:hAnsi="Arial" w:cs="Arial"/>
          <w:b/>
          <w:i/>
          <w:sz w:val="18"/>
          <w:szCs w:val="18"/>
        </w:rPr>
      </w:pPr>
    </w:p>
    <w:p w14:paraId="759BC2BB" w14:textId="77777777" w:rsidR="00881470" w:rsidRDefault="00881470">
      <w:pPr>
        <w:rPr>
          <w:rFonts w:ascii="Arial" w:hAnsi="Arial" w:cs="Arial"/>
          <w:b/>
          <w:i/>
          <w:sz w:val="18"/>
          <w:szCs w:val="18"/>
        </w:rPr>
      </w:pPr>
    </w:p>
    <w:p w14:paraId="738A63CF" w14:textId="77777777" w:rsidR="00881470" w:rsidRDefault="00881470">
      <w:pPr>
        <w:rPr>
          <w:rFonts w:ascii="Arial" w:hAnsi="Arial" w:cs="Arial"/>
          <w:b/>
          <w:i/>
          <w:sz w:val="18"/>
          <w:szCs w:val="18"/>
        </w:rPr>
      </w:pPr>
    </w:p>
    <w:p w14:paraId="1F240159" w14:textId="77777777" w:rsidR="00881470" w:rsidRDefault="00881470">
      <w:pPr>
        <w:rPr>
          <w:rFonts w:ascii="Arial" w:hAnsi="Arial" w:cs="Arial"/>
          <w:b/>
          <w:i/>
          <w:sz w:val="18"/>
          <w:szCs w:val="18"/>
        </w:rPr>
      </w:pPr>
      <w:r>
        <w:rPr>
          <w:noProof/>
        </w:rPr>
        <w:drawing>
          <wp:anchor distT="0" distB="0" distL="114300" distR="114300" simplePos="0" relativeHeight="251661312" behindDoc="0" locked="0" layoutInCell="1" allowOverlap="1" wp14:anchorId="06725240" wp14:editId="6ACA18EB">
            <wp:simplePos x="0" y="0"/>
            <wp:positionH relativeFrom="column">
              <wp:posOffset>-114300</wp:posOffset>
            </wp:positionH>
            <wp:positionV relativeFrom="paragraph">
              <wp:posOffset>1905</wp:posOffset>
            </wp:positionV>
            <wp:extent cx="1489710" cy="1382395"/>
            <wp:effectExtent l="0" t="0" r="8890" b="0"/>
            <wp:wrapTight wrapText="bothSides">
              <wp:wrapPolygon edited="0">
                <wp:start x="0" y="0"/>
                <wp:lineTo x="0" y="21034"/>
                <wp:lineTo x="21361" y="21034"/>
                <wp:lineTo x="213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tate Seal.gif"/>
                    <pic:cNvPicPr/>
                  </pic:nvPicPr>
                  <pic:blipFill>
                    <a:blip r:embed="rId9">
                      <a:extLst>
                        <a:ext uri="{28A0092B-C50C-407E-A947-70E740481C1C}">
                          <a14:useLocalDpi xmlns:a14="http://schemas.microsoft.com/office/drawing/2010/main" val="0"/>
                        </a:ext>
                      </a:extLst>
                    </a:blip>
                    <a:stretch>
                      <a:fillRect/>
                    </a:stretch>
                  </pic:blipFill>
                  <pic:spPr>
                    <a:xfrm>
                      <a:off x="0" y="0"/>
                      <a:ext cx="1489710" cy="1382395"/>
                    </a:xfrm>
                    <a:prstGeom prst="rect">
                      <a:avLst/>
                    </a:prstGeom>
                  </pic:spPr>
                </pic:pic>
              </a:graphicData>
            </a:graphic>
            <wp14:sizeRelH relativeFrom="page">
              <wp14:pctWidth>0</wp14:pctWidth>
            </wp14:sizeRelH>
            <wp14:sizeRelV relativeFrom="page">
              <wp14:pctHeight>0</wp14:pctHeight>
            </wp14:sizeRelV>
          </wp:anchor>
        </w:drawing>
      </w:r>
    </w:p>
    <w:p w14:paraId="435484A1" w14:textId="77777777" w:rsidR="00881470" w:rsidRDefault="00881470">
      <w:pPr>
        <w:rPr>
          <w:rFonts w:ascii="Arial" w:hAnsi="Arial" w:cs="Arial"/>
          <w:b/>
          <w:i/>
          <w:sz w:val="18"/>
          <w:szCs w:val="18"/>
        </w:rPr>
      </w:pPr>
    </w:p>
    <w:p w14:paraId="1C70F167" w14:textId="77777777" w:rsidR="00881470" w:rsidRDefault="00881470">
      <w:pPr>
        <w:rPr>
          <w:rFonts w:ascii="Arial" w:hAnsi="Arial" w:cs="Arial"/>
          <w:b/>
          <w:i/>
          <w:sz w:val="18"/>
          <w:szCs w:val="18"/>
        </w:rPr>
      </w:pPr>
    </w:p>
    <w:p w14:paraId="33E9B8E3" w14:textId="77777777" w:rsidR="00881470" w:rsidRDefault="00881470">
      <w:pPr>
        <w:rPr>
          <w:rFonts w:ascii="Arial" w:hAnsi="Arial" w:cs="Arial"/>
          <w:b/>
          <w:i/>
          <w:sz w:val="18"/>
          <w:szCs w:val="18"/>
        </w:rPr>
      </w:pPr>
    </w:p>
    <w:p w14:paraId="2866A659" w14:textId="77777777" w:rsidR="00881470" w:rsidRDefault="00881470">
      <w:pPr>
        <w:rPr>
          <w:rFonts w:ascii="Arial" w:hAnsi="Arial" w:cs="Arial"/>
          <w:b/>
          <w:i/>
          <w:sz w:val="18"/>
          <w:szCs w:val="18"/>
        </w:rPr>
      </w:pPr>
    </w:p>
    <w:p w14:paraId="05085B8F" w14:textId="77777777" w:rsidR="00881470" w:rsidRDefault="00881470">
      <w:pPr>
        <w:rPr>
          <w:rFonts w:ascii="Arial" w:hAnsi="Arial" w:cs="Arial"/>
          <w:b/>
          <w:i/>
          <w:sz w:val="18"/>
          <w:szCs w:val="18"/>
        </w:rPr>
      </w:pPr>
    </w:p>
    <w:p w14:paraId="2CAD2B68" w14:textId="77777777" w:rsidR="00881470" w:rsidRDefault="00881470">
      <w:pPr>
        <w:rPr>
          <w:rFonts w:ascii="Arial" w:hAnsi="Arial" w:cs="Arial"/>
          <w:b/>
          <w:i/>
          <w:sz w:val="18"/>
          <w:szCs w:val="18"/>
        </w:rPr>
      </w:pPr>
    </w:p>
    <w:p w14:paraId="0A66FFF0" w14:textId="77777777" w:rsidR="00881470" w:rsidRDefault="00881470">
      <w:pPr>
        <w:rPr>
          <w:rFonts w:ascii="Arial" w:hAnsi="Arial" w:cs="Arial"/>
          <w:b/>
          <w:i/>
          <w:sz w:val="18"/>
          <w:szCs w:val="18"/>
        </w:rPr>
      </w:pPr>
    </w:p>
    <w:p w14:paraId="2C7554C8" w14:textId="77777777" w:rsidR="00881470" w:rsidRDefault="00881470">
      <w:pPr>
        <w:rPr>
          <w:rFonts w:ascii="Arial" w:hAnsi="Arial" w:cs="Arial"/>
          <w:b/>
          <w:i/>
          <w:sz w:val="18"/>
          <w:szCs w:val="18"/>
        </w:rPr>
      </w:pPr>
    </w:p>
    <w:p w14:paraId="2C425825" w14:textId="77777777" w:rsidR="00881470" w:rsidRDefault="00881470" w:rsidP="003F4078">
      <w:pPr>
        <w:pStyle w:val="Header"/>
        <w:jc w:val="center"/>
      </w:pPr>
    </w:p>
    <w:p w14:paraId="083C54F8" w14:textId="77777777" w:rsidR="00881470" w:rsidRDefault="00881470" w:rsidP="00881470">
      <w:pPr>
        <w:tabs>
          <w:tab w:val="left" w:pos="1584"/>
        </w:tabs>
        <w:rPr>
          <w:rFonts w:ascii="Arial" w:hAnsi="Arial" w:cs="Arial"/>
          <w:b/>
          <w:i/>
          <w:sz w:val="18"/>
          <w:szCs w:val="18"/>
        </w:rPr>
      </w:pPr>
    </w:p>
    <w:p w14:paraId="0D945330" w14:textId="77777777" w:rsidR="003F4078" w:rsidRPr="003F4078" w:rsidRDefault="003F4078">
      <w:pPr>
        <w:rPr>
          <w:rFonts w:ascii="Arial" w:hAnsi="Arial" w:cs="Arial"/>
          <w:b/>
          <w:i/>
        </w:rPr>
      </w:pPr>
      <w:r w:rsidRPr="003F4078">
        <w:rPr>
          <w:rFonts w:ascii="Palatino Linotype" w:hAnsi="Palatino Linotype"/>
          <w:sz w:val="28"/>
        </w:rPr>
        <w:t>General Assembly</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Arial" w:hAnsi="Arial" w:cs="Arial"/>
          <w:b/>
          <w:i/>
        </w:rPr>
        <w:t>Raised Bill No. XXX</w:t>
      </w:r>
    </w:p>
    <w:p w14:paraId="0E48088B" w14:textId="77777777" w:rsidR="00485A15" w:rsidRPr="00EE71C7" w:rsidRDefault="003F4078">
      <w:pPr>
        <w:rPr>
          <w:rFonts w:ascii="Arial" w:hAnsi="Arial" w:cs="Arial"/>
          <w:b/>
          <w:i/>
          <w:sz w:val="18"/>
          <w:szCs w:val="18"/>
        </w:rPr>
      </w:pPr>
      <w:r>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662AEDFF" wp14:editId="17F94EF1">
                <wp:simplePos x="0" y="0"/>
                <wp:positionH relativeFrom="column">
                  <wp:posOffset>0</wp:posOffset>
                </wp:positionH>
                <wp:positionV relativeFrom="paragraph">
                  <wp:posOffset>44450</wp:posOffset>
                </wp:positionV>
                <wp:extent cx="50292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0292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396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" strokeweight=".5pt">
                <v:shadow on="t" opacity="24903f" mv:blur="40000f" origin=",.5" offset="0,20000emu"/>
              </v:line>
            </w:pict>
          </mc:Fallback>
        </mc:AlternateContent>
      </w:r>
      <w:r w:rsidR="00EE71C7">
        <w:rPr>
          <w:rFonts w:ascii="Arial" w:hAnsi="Arial" w:cs="Arial"/>
          <w:b/>
          <w:i/>
          <w:sz w:val="18"/>
          <w:szCs w:val="18"/>
        </w:rPr>
        <w:t>February Session, 2019</w:t>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sidRPr="00DA6AE5">
        <w:rPr>
          <w:rFonts w:ascii="Arial" w:hAnsi="Arial" w:cs="Arial"/>
          <w:i/>
        </w:rPr>
        <w:t>LCO No</w:t>
      </w:r>
      <w:r w:rsidR="00594845" w:rsidRPr="00DA6AE5">
        <w:rPr>
          <w:rFonts w:ascii="Arial" w:hAnsi="Arial" w:cs="Arial"/>
          <w:b/>
          <w:i/>
        </w:rPr>
        <w:t>. XXXX</w:t>
      </w:r>
    </w:p>
    <w:p w14:paraId="7C7C877F" w14:textId="77777777" w:rsidR="00594845" w:rsidRDefault="004D71AE">
      <w:pPr>
        <w:rPr>
          <w:rFonts w:ascii="Arial" w:hAnsi="Arial" w:cs="Arial"/>
        </w:rPr>
      </w:pPr>
      <w:r>
        <w:rPr>
          <w:rFonts w:ascii="Times New Roman"/>
          <w:noProof/>
          <w:sz w:val="20"/>
        </w:rPr>
        <w:drawing>
          <wp:anchor distT="0" distB="0" distL="114300" distR="114300" simplePos="0" relativeHeight="251662336" behindDoc="0" locked="0" layoutInCell="1" allowOverlap="1" wp14:anchorId="52563E54" wp14:editId="51A200FE">
            <wp:simplePos x="0" y="0"/>
            <wp:positionH relativeFrom="column">
              <wp:posOffset>3657600</wp:posOffset>
            </wp:positionH>
            <wp:positionV relativeFrom="paragraph">
              <wp:posOffset>139065</wp:posOffset>
            </wp:positionV>
            <wp:extent cx="1463675" cy="249555"/>
            <wp:effectExtent l="0" t="0" r="0" b="4445"/>
            <wp:wrapTight wrapText="bothSides">
              <wp:wrapPolygon edited="0">
                <wp:start x="0" y="0"/>
                <wp:lineTo x="0" y="19786"/>
                <wp:lineTo x="20616" y="19786"/>
                <wp:lineTo x="20991"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675" cy="249555"/>
                    </a:xfrm>
                    <a:prstGeom prst="rect">
                      <a:avLst/>
                    </a:prstGeom>
                  </pic:spPr>
                </pic:pic>
              </a:graphicData>
            </a:graphic>
            <wp14:sizeRelH relativeFrom="page">
              <wp14:pctWidth>0</wp14:pctWidth>
            </wp14:sizeRelH>
            <wp14:sizeRelV relativeFrom="page">
              <wp14:pctHeight>0</wp14:pctHeight>
            </wp14:sizeRelV>
          </wp:anchor>
        </w:drawing>
      </w:r>
    </w:p>
    <w:p w14:paraId="50670C85" w14:textId="77777777" w:rsidR="004D71AE" w:rsidRDefault="004D71AE">
      <w:pPr>
        <w:rPr>
          <w:rFonts w:ascii="Arial" w:hAnsi="Arial" w:cs="Arial"/>
        </w:rPr>
      </w:pPr>
    </w:p>
    <w:p w14:paraId="1C582E0C" w14:textId="77777777" w:rsidR="004D71AE" w:rsidRDefault="004D71AE">
      <w:pPr>
        <w:rPr>
          <w:rFonts w:ascii="Arial" w:hAnsi="Arial" w:cs="Arial"/>
        </w:rPr>
      </w:pPr>
    </w:p>
    <w:p w14:paraId="7DEB5321" w14:textId="77777777" w:rsidR="00485A15" w:rsidRDefault="00594845">
      <w:pPr>
        <w:rPr>
          <w:rFonts w:ascii="Palatino Linotype" w:hAnsi="Palatino Linotype" w:cs="Arial"/>
          <w:sz w:val="22"/>
          <w:szCs w:val="22"/>
        </w:rPr>
      </w:pPr>
      <w:r w:rsidRPr="00594845">
        <w:rPr>
          <w:rFonts w:ascii="Palatino Linotype" w:hAnsi="Palatino Linotype" w:cs="Arial"/>
          <w:sz w:val="22"/>
          <w:szCs w:val="22"/>
        </w:rPr>
        <w:t>Referred to Committee on INSURANCE AND REAL ESTATE</w:t>
      </w:r>
    </w:p>
    <w:p w14:paraId="47E111D9" w14:textId="77777777" w:rsidR="00594845" w:rsidRDefault="00594845">
      <w:pPr>
        <w:rPr>
          <w:rFonts w:ascii="Palatino Linotype" w:hAnsi="Palatino Linotype" w:cs="Arial"/>
          <w:sz w:val="22"/>
          <w:szCs w:val="22"/>
        </w:rPr>
      </w:pPr>
      <w:r>
        <w:rPr>
          <w:rFonts w:ascii="Palatino Linotype" w:hAnsi="Palatino Linotype" w:cs="Arial"/>
          <w:sz w:val="22"/>
          <w:szCs w:val="22"/>
        </w:rPr>
        <w:t xml:space="preserve">Introduced by: </w:t>
      </w:r>
    </w:p>
    <w:p w14:paraId="20768B39" w14:textId="77777777" w:rsidR="00594845" w:rsidRPr="00594845" w:rsidRDefault="00594845" w:rsidP="00594845">
      <w:pPr>
        <w:rPr>
          <w:rFonts w:ascii="Palatino Linotype" w:hAnsi="Palatino Linotype" w:cs="Arial"/>
          <w:sz w:val="22"/>
          <w:szCs w:val="22"/>
        </w:rPr>
      </w:pPr>
      <w:r>
        <w:rPr>
          <w:rFonts w:ascii="Palatino Linotype" w:hAnsi="Palatino Linotype" w:cs="Arial"/>
          <w:sz w:val="22"/>
          <w:szCs w:val="22"/>
        </w:rPr>
        <w:t xml:space="preserve">   (INS)</w:t>
      </w:r>
    </w:p>
    <w:p w14:paraId="7EC7D7EE" w14:textId="77777777" w:rsidR="00594845" w:rsidRDefault="00594845" w:rsidP="006A6201">
      <w:pPr>
        <w:rPr>
          <w:rFonts w:ascii="Palatino Linotype" w:hAnsi="Palatino Linotype"/>
          <w:b/>
          <w:i/>
          <w:sz w:val="22"/>
          <w:szCs w:val="22"/>
        </w:rPr>
      </w:pPr>
    </w:p>
    <w:p w14:paraId="53B3B793" w14:textId="77777777" w:rsidR="00594845" w:rsidRDefault="00594845" w:rsidP="006A6201">
      <w:pPr>
        <w:rPr>
          <w:rFonts w:ascii="Palatino Linotype" w:hAnsi="Palatino Linotype"/>
          <w:b/>
          <w:i/>
          <w:sz w:val="22"/>
          <w:szCs w:val="22"/>
        </w:rPr>
      </w:pPr>
    </w:p>
    <w:p w14:paraId="309674D2" w14:textId="77777777" w:rsidR="00485A15" w:rsidRPr="00594845" w:rsidRDefault="00017894" w:rsidP="006A6201">
      <w:pPr>
        <w:rPr>
          <w:rFonts w:ascii="Palatino Linotype" w:hAnsi="Palatino Linotype"/>
          <w:b/>
          <w:i/>
          <w:sz w:val="22"/>
          <w:szCs w:val="22"/>
        </w:rPr>
      </w:pPr>
      <w:r w:rsidRPr="00594845">
        <w:rPr>
          <w:rFonts w:ascii="Palatino Linotype" w:hAnsi="Palatino Linotype"/>
          <w:b/>
          <w:i/>
          <w:sz w:val="22"/>
          <w:szCs w:val="22"/>
        </w:rPr>
        <w:t xml:space="preserve">AN ACT </w:t>
      </w:r>
      <w:r w:rsidR="006A6201" w:rsidRPr="00594845">
        <w:rPr>
          <w:rFonts w:ascii="Palatino Linotype" w:hAnsi="Palatino Linotype"/>
          <w:b/>
          <w:i/>
          <w:sz w:val="22"/>
          <w:szCs w:val="22"/>
        </w:rPr>
        <w:t xml:space="preserve">ESTABLISHING </w:t>
      </w:r>
      <w:r w:rsidR="00594845">
        <w:rPr>
          <w:rFonts w:ascii="Palatino Linotype" w:hAnsi="Palatino Linotype"/>
          <w:b/>
          <w:i/>
          <w:sz w:val="22"/>
          <w:szCs w:val="22"/>
        </w:rPr>
        <w:t>MENTAL HEALTH AND ADDICTION PARITY REPORTING AND IMPLEMENTATION REQUIREMENTS</w:t>
      </w:r>
      <w:r w:rsidRPr="00594845">
        <w:rPr>
          <w:rFonts w:ascii="Palatino Linotype" w:hAnsi="Palatino Linotype"/>
          <w:b/>
          <w:i/>
          <w:sz w:val="22"/>
          <w:szCs w:val="22"/>
        </w:rPr>
        <w:t>.</w:t>
      </w:r>
    </w:p>
    <w:p w14:paraId="170C5DC7" w14:textId="77777777" w:rsidR="00485A15" w:rsidRPr="00594845" w:rsidRDefault="00485A15">
      <w:pPr>
        <w:rPr>
          <w:rFonts w:ascii="Palatino Linotype" w:hAnsi="Palatino Linotype"/>
          <w:sz w:val="22"/>
          <w:szCs w:val="22"/>
        </w:rPr>
      </w:pPr>
    </w:p>
    <w:p w14:paraId="50766BB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Be it enacted by the Senate and House of Representatives in General</w:t>
      </w:r>
    </w:p>
    <w:p w14:paraId="6A0E3B5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Assembly convened:</w:t>
      </w:r>
    </w:p>
    <w:p w14:paraId="3F068059" w14:textId="77777777" w:rsidR="00485A15" w:rsidRPr="00594845" w:rsidRDefault="00485A15">
      <w:pPr>
        <w:rPr>
          <w:rFonts w:ascii="Palatino Linotype" w:hAnsi="Palatino Linotype"/>
          <w:sz w:val="22"/>
          <w:szCs w:val="22"/>
        </w:rPr>
      </w:pPr>
    </w:p>
    <w:p w14:paraId="77769BB6" w14:textId="77777777" w:rsidR="00E97EF3" w:rsidRDefault="00E97EF3" w:rsidP="00E97EF3">
      <w:pPr>
        <w:ind w:firstLine="720"/>
        <w:rPr>
          <w:rFonts w:ascii="Palatino Linotype" w:hAnsi="Palatino Linotype"/>
          <w:sz w:val="22"/>
          <w:szCs w:val="22"/>
        </w:rPr>
      </w:pPr>
      <w:r>
        <w:rPr>
          <w:rFonts w:ascii="Palatino Linotype" w:hAnsi="Palatino Linotype"/>
          <w:sz w:val="22"/>
          <w:szCs w:val="22"/>
        </w:rPr>
        <w:t>Section 1. (NEW) (</w:t>
      </w:r>
      <w:r w:rsidRPr="00E97EF3">
        <w:rPr>
          <w:rFonts w:ascii="Palatino Linotype" w:hAnsi="Palatino Linotype"/>
          <w:i/>
          <w:sz w:val="22"/>
          <w:szCs w:val="22"/>
        </w:rPr>
        <w:t>Effective January 1, 2020</w:t>
      </w:r>
      <w:r>
        <w:rPr>
          <w:rFonts w:ascii="Palatino Linotype" w:hAnsi="Palatino Linotype"/>
          <w:sz w:val="22"/>
          <w:szCs w:val="22"/>
        </w:rPr>
        <w:t>) For the purposes of this section and sections 2 to 4, inclusive, of this act:</w:t>
      </w:r>
    </w:p>
    <w:p w14:paraId="1C409CF7" w14:textId="77777777" w:rsidR="00E97EF3" w:rsidRDefault="00E97EF3" w:rsidP="00E97EF3">
      <w:pPr>
        <w:ind w:firstLine="720"/>
        <w:rPr>
          <w:rFonts w:ascii="Palatino Linotype" w:hAnsi="Palatino Linotype" w:cs="Arial"/>
          <w:sz w:val="22"/>
          <w:szCs w:val="22"/>
        </w:rPr>
      </w:pPr>
      <w:r w:rsidRPr="00E97EF3">
        <w:rPr>
          <w:rFonts w:ascii="Palatino Linotype" w:hAnsi="Palatino Linotype" w:cs="Arial"/>
          <w:sz w:val="22"/>
          <w:szCs w:val="22"/>
        </w:rPr>
        <w:t>(1) "Commissioner" means the Insurance</w:t>
      </w:r>
      <w:r w:rsidRPr="00E97EF3">
        <w:rPr>
          <w:rFonts w:ascii="Palatino Linotype" w:hAnsi="Palatino Linotype" w:cs="Arial"/>
          <w:spacing w:val="-7"/>
          <w:sz w:val="22"/>
          <w:szCs w:val="22"/>
        </w:rPr>
        <w:t xml:space="preserve"> </w:t>
      </w:r>
      <w:r w:rsidRPr="00E97EF3">
        <w:rPr>
          <w:rFonts w:ascii="Palatino Linotype" w:hAnsi="Palatino Linotype" w:cs="Arial"/>
          <w:sz w:val="22"/>
          <w:szCs w:val="22"/>
        </w:rPr>
        <w:t>Commissioner.</w:t>
      </w:r>
    </w:p>
    <w:p w14:paraId="75D26F57" w14:textId="77777777" w:rsidR="006A36AE" w:rsidRDefault="006A36AE" w:rsidP="006A36AE">
      <w:pPr>
        <w:ind w:firstLine="720"/>
        <w:rPr>
          <w:rFonts w:ascii="Palatino Linotype" w:hAnsi="Palatino Linotype" w:cs="Arial"/>
          <w:sz w:val="22"/>
          <w:szCs w:val="22"/>
        </w:rPr>
      </w:pPr>
      <w:r>
        <w:rPr>
          <w:rFonts w:ascii="Palatino Linotype" w:hAnsi="Palatino Linotype" w:cs="Arial"/>
          <w:sz w:val="22"/>
          <w:szCs w:val="22"/>
        </w:rPr>
        <w:t>(2) “</w:t>
      </w:r>
      <w:r w:rsidRPr="006A36AE">
        <w:rPr>
          <w:rFonts w:ascii="Palatino Linotype" w:hAnsi="Palatino Linotype" w:cs="Arial"/>
          <w:sz w:val="22"/>
          <w:szCs w:val="22"/>
        </w:rPr>
        <w:t>Health carrier" or "carrier" means an insurer, fraternal benefit</w:t>
      </w:r>
      <w:r>
        <w:rPr>
          <w:rFonts w:ascii="Palatino Linotype" w:hAnsi="Palatino Linotype" w:cs="Arial"/>
          <w:sz w:val="22"/>
          <w:szCs w:val="22"/>
        </w:rPr>
        <w:t xml:space="preserve"> </w:t>
      </w:r>
      <w:r w:rsidRPr="006A36AE">
        <w:rPr>
          <w:rFonts w:ascii="Palatino Linotype" w:hAnsi="Palatino Linotype" w:cs="Arial"/>
          <w:sz w:val="22"/>
          <w:szCs w:val="22"/>
        </w:rPr>
        <w:t>society, health care center, hospital service corporation, managed care</w:t>
      </w:r>
      <w:r>
        <w:rPr>
          <w:rFonts w:ascii="Palatino Linotype" w:hAnsi="Palatino Linotype" w:cs="Arial"/>
          <w:sz w:val="22"/>
          <w:szCs w:val="22"/>
        </w:rPr>
        <w:t xml:space="preserve"> </w:t>
      </w:r>
      <w:r w:rsidRPr="006A36AE">
        <w:rPr>
          <w:rFonts w:ascii="Palatino Linotype" w:hAnsi="Palatino Linotype" w:cs="Arial"/>
          <w:sz w:val="22"/>
          <w:szCs w:val="22"/>
        </w:rPr>
        <w:t>organization, medical service corporation or other entity that delivers,</w:t>
      </w:r>
      <w:r>
        <w:rPr>
          <w:rFonts w:ascii="Palatino Linotype" w:hAnsi="Palatino Linotype" w:cs="Arial"/>
          <w:sz w:val="22"/>
          <w:szCs w:val="22"/>
        </w:rPr>
        <w:t xml:space="preserve"> </w:t>
      </w:r>
      <w:r w:rsidR="00CD031E">
        <w:rPr>
          <w:rFonts w:ascii="Palatino Linotype" w:hAnsi="Palatino Linotype" w:cs="Arial"/>
          <w:sz w:val="22"/>
          <w:szCs w:val="22"/>
        </w:rPr>
        <w:t>issues f</w:t>
      </w:r>
      <w:r w:rsidR="00833461">
        <w:rPr>
          <w:rFonts w:ascii="Palatino Linotype" w:hAnsi="Palatino Linotype" w:cs="Arial"/>
          <w:sz w:val="22"/>
          <w:szCs w:val="22"/>
        </w:rPr>
        <w:t xml:space="preserve">or delivery, renews, amends or </w:t>
      </w:r>
      <w:r w:rsidR="00CD031E">
        <w:rPr>
          <w:rFonts w:ascii="Palatino Linotype" w:hAnsi="Palatino Linotype" w:cs="Arial"/>
          <w:sz w:val="22"/>
          <w:szCs w:val="22"/>
        </w:rPr>
        <w:t xml:space="preserve">continues in this state </w:t>
      </w:r>
      <w:r w:rsidRPr="006A36AE">
        <w:rPr>
          <w:rFonts w:ascii="Palatino Linotype" w:hAnsi="Palatino Linotype" w:cs="Arial"/>
          <w:sz w:val="22"/>
          <w:szCs w:val="22"/>
        </w:rPr>
        <w:t>any</w:t>
      </w:r>
      <w:r w:rsidR="00CD031E">
        <w:rPr>
          <w:rFonts w:ascii="Palatino Linotype" w:hAnsi="Palatino Linotype" w:cs="Arial"/>
          <w:sz w:val="22"/>
          <w:szCs w:val="22"/>
        </w:rPr>
        <w:t xml:space="preserve"> </w:t>
      </w:r>
      <w:r w:rsidRPr="006A36AE">
        <w:rPr>
          <w:rFonts w:ascii="Palatino Linotype" w:hAnsi="Palatino Linotype" w:cs="Arial"/>
          <w:sz w:val="22"/>
          <w:szCs w:val="22"/>
        </w:rPr>
        <w:t>individual or group health insurance policy.</w:t>
      </w:r>
    </w:p>
    <w:p w14:paraId="250664FA" w14:textId="77777777" w:rsidR="00720229" w:rsidRDefault="00720229" w:rsidP="006A36AE">
      <w:pPr>
        <w:ind w:firstLine="720"/>
        <w:rPr>
          <w:rFonts w:ascii="Palatino Linotype" w:hAnsi="Palatino Linotype" w:cs="Arial"/>
          <w:sz w:val="22"/>
          <w:szCs w:val="22"/>
        </w:rPr>
      </w:pPr>
      <w:r>
        <w:rPr>
          <w:rFonts w:ascii="Palatino Linotype" w:hAnsi="Palatino Linotype" w:cs="Arial"/>
          <w:sz w:val="22"/>
          <w:szCs w:val="22"/>
        </w:rPr>
        <w:t xml:space="preserve">(3) “Mental health and substance use disorder benefits” means </w:t>
      </w:r>
      <w:r w:rsidRPr="00720229">
        <w:rPr>
          <w:rFonts w:ascii="Palatino Linotype" w:hAnsi="Palatino Linotype" w:cs="Arial"/>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015C94C7" w14:textId="77777777" w:rsidR="00337A47" w:rsidRDefault="00337A47" w:rsidP="006A36AE">
      <w:pPr>
        <w:ind w:firstLine="720"/>
        <w:rPr>
          <w:rFonts w:ascii="Palatino Linotype" w:hAnsi="Palatino Linotype" w:cs="Arial"/>
          <w:sz w:val="22"/>
          <w:szCs w:val="22"/>
        </w:rPr>
      </w:pPr>
      <w:r>
        <w:rPr>
          <w:rFonts w:ascii="Palatino Linotype" w:hAnsi="Palatino Linotype" w:cs="Arial"/>
          <w:sz w:val="22"/>
          <w:szCs w:val="22"/>
        </w:rPr>
        <w:t xml:space="preserve">(4) </w:t>
      </w:r>
      <w:r w:rsidRPr="00337A47">
        <w:rPr>
          <w:rFonts w:ascii="Palatino Linotype" w:hAnsi="Palatino Linotype" w:cs="Arial"/>
          <w:sz w:val="22"/>
          <w:szCs w:val="22"/>
        </w:rPr>
        <w:t>“Nonquantitative treatment limitation” means limitations that are not expressed numerically, but otherwise limit the scope or duration of benefits for treatment.</w:t>
      </w:r>
    </w:p>
    <w:p w14:paraId="57C4547B" w14:textId="77777777" w:rsidR="007410D7" w:rsidRDefault="007410D7" w:rsidP="006A36AE">
      <w:pPr>
        <w:ind w:firstLine="720"/>
        <w:rPr>
          <w:rFonts w:ascii="Palatino Linotype" w:hAnsi="Palatino Linotype" w:cs="Arial"/>
          <w:sz w:val="22"/>
          <w:szCs w:val="22"/>
        </w:rPr>
      </w:pPr>
      <w:r>
        <w:rPr>
          <w:rFonts w:ascii="Palatino Linotype" w:hAnsi="Palatino Linotype" w:cs="Arial"/>
          <w:sz w:val="22"/>
          <w:szCs w:val="22"/>
        </w:rPr>
        <w:lastRenderedPageBreak/>
        <w:t>Sec. 2. (NEW) (</w:t>
      </w:r>
      <w:r w:rsidRPr="00834541">
        <w:rPr>
          <w:rFonts w:ascii="Palatino Linotype" w:hAnsi="Palatino Linotype" w:cs="Arial"/>
          <w:i/>
          <w:sz w:val="22"/>
          <w:szCs w:val="22"/>
        </w:rPr>
        <w:t>Effective January 1, 2020</w:t>
      </w:r>
      <w:r>
        <w:rPr>
          <w:rFonts w:ascii="Palatino Linotype" w:hAnsi="Palatino Linotype" w:cs="Arial"/>
          <w:sz w:val="22"/>
          <w:szCs w:val="22"/>
        </w:rPr>
        <w:t>) (a) Each health carrier shall</w:t>
      </w:r>
      <w:r w:rsidRPr="007410D7">
        <w:rPr>
          <w:rFonts w:ascii="Palatino Linotype" w:hAnsi="Palatino Linotype" w:cs="Arial"/>
          <w:sz w:val="22"/>
          <w:szCs w:val="22"/>
        </w:rPr>
        <w:t xml:space="preserve"> submit an annual report to the </w:t>
      </w:r>
      <w:r w:rsidR="00825D6A">
        <w:rPr>
          <w:rFonts w:ascii="Palatino Linotype" w:hAnsi="Palatino Linotype" w:cs="Arial"/>
          <w:sz w:val="22"/>
          <w:szCs w:val="22"/>
        </w:rPr>
        <w:t>Commissioner</w:t>
      </w:r>
      <w:r w:rsidRPr="007410D7">
        <w:rPr>
          <w:rFonts w:ascii="Palatino Linotype" w:hAnsi="Palatino Linotype" w:cs="Arial"/>
          <w:sz w:val="22"/>
          <w:szCs w:val="22"/>
        </w:rPr>
        <w:t xml:space="preserve"> on or before </w:t>
      </w:r>
      <w:r>
        <w:rPr>
          <w:rFonts w:ascii="Palatino Linotype" w:hAnsi="Palatino Linotype" w:cs="Arial"/>
          <w:sz w:val="22"/>
          <w:szCs w:val="22"/>
        </w:rPr>
        <w:t>March first</w:t>
      </w:r>
      <w:r w:rsidRPr="007410D7">
        <w:rPr>
          <w:rFonts w:ascii="Palatino Linotype" w:hAnsi="Palatino Linotype" w:cs="Arial"/>
          <w:sz w:val="22"/>
          <w:szCs w:val="22"/>
        </w:rPr>
        <w:t xml:space="preserve"> that contains the following information:</w:t>
      </w:r>
    </w:p>
    <w:p w14:paraId="21E9E9BF"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(1) </w:t>
      </w:r>
      <w:r w:rsidRPr="007410D7">
        <w:rPr>
          <w:rFonts w:ascii="Palatino Linotype" w:hAnsi="Palatino Linotype" w:cs="Arial"/>
          <w:sz w:val="22"/>
          <w:szCs w:val="22"/>
        </w:rPr>
        <w:t>A description of the process used to develop or select the medical necessity criteria for mental health and substance use disorder benefits and the process used to develop or select the medical necessity criteria for</w:t>
      </w:r>
      <w:r w:rsidR="00C30FC7">
        <w:rPr>
          <w:rFonts w:ascii="Palatino Linotype" w:hAnsi="Palatino Linotype" w:cs="Arial"/>
          <w:sz w:val="22"/>
          <w:szCs w:val="22"/>
        </w:rPr>
        <w:t xml:space="preserve"> medical and surgical benefits;</w:t>
      </w:r>
    </w:p>
    <w:p w14:paraId="25B91B61"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(2) </w:t>
      </w:r>
      <w:r w:rsidRPr="007410D7">
        <w:rPr>
          <w:rFonts w:ascii="Palatino Linotype" w:hAnsi="Palatino Linotype" w:cs="Arial"/>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C30FC7">
        <w:rPr>
          <w:rFonts w:ascii="Palatino Linotype" w:hAnsi="Palatino Linotype" w:cs="Arial"/>
          <w:sz w:val="22"/>
          <w:szCs w:val="22"/>
        </w:rPr>
        <w:t xml:space="preserve"> any classification of benefits;</w:t>
      </w:r>
    </w:p>
    <w:p w14:paraId="495C2DA8" w14:textId="77777777" w:rsid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(3) </w:t>
      </w:r>
      <w:r w:rsidRPr="007410D7">
        <w:rPr>
          <w:rFonts w:ascii="Palatino Linotype" w:hAnsi="Palatino Linotype" w:cs="Arial"/>
          <w:sz w:val="22"/>
          <w:szCs w:val="22"/>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0506291"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(A) </w:t>
      </w:r>
      <w:r w:rsidRPr="007410D7">
        <w:rPr>
          <w:rFonts w:ascii="Palatino Linotype" w:hAnsi="Palatino Linotype" w:cs="Arial"/>
          <w:sz w:val="22"/>
          <w:szCs w:val="22"/>
        </w:rPr>
        <w:t>Identify the factors used to determine that an NQTL will apply to a benefit, including factors that were considered but rejected</w:t>
      </w:r>
      <w:r w:rsidR="00C30FC7">
        <w:rPr>
          <w:rFonts w:ascii="Palatino Linotype" w:hAnsi="Palatino Linotype" w:cs="Arial"/>
          <w:sz w:val="22"/>
          <w:szCs w:val="22"/>
        </w:rPr>
        <w:t>;</w:t>
      </w:r>
    </w:p>
    <w:p w14:paraId="56E23B07"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(B) </w:t>
      </w:r>
      <w:r w:rsidRPr="007410D7">
        <w:rPr>
          <w:rFonts w:ascii="Palatino Linotype" w:hAnsi="Palatino Linotype" w:cs="Arial"/>
          <w:sz w:val="22"/>
          <w:szCs w:val="22"/>
        </w:rPr>
        <w:t>Identify and define the specific evidentiary standards used to define the factors and any other evidence relied upon in designing each NQTL</w:t>
      </w:r>
      <w:r w:rsidR="00C30FC7">
        <w:rPr>
          <w:rFonts w:ascii="Palatino Linotype" w:hAnsi="Palatino Linotype" w:cs="Arial"/>
          <w:sz w:val="22"/>
          <w:szCs w:val="22"/>
        </w:rPr>
        <w:t>;</w:t>
      </w:r>
    </w:p>
    <w:p w14:paraId="3FFF5A2D"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(C) </w:t>
      </w:r>
      <w:r w:rsidRPr="007410D7">
        <w:rPr>
          <w:rFonts w:ascii="Palatino Linotype" w:hAnsi="Palatino Linotype" w:cs="Arial"/>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C30FC7">
        <w:rPr>
          <w:rFonts w:ascii="Palatino Linotype" w:hAnsi="Palatino Linotype" w:cs="Arial"/>
          <w:sz w:val="22"/>
          <w:szCs w:val="22"/>
        </w:rPr>
        <w:t>;</w:t>
      </w:r>
    </w:p>
    <w:p w14:paraId="423359FF"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(D) </w:t>
      </w:r>
      <w:r w:rsidRPr="007410D7">
        <w:rPr>
          <w:rFonts w:ascii="Palatino Linotype" w:hAnsi="Palatino Linotype" w:cs="Arial"/>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C30FC7">
        <w:rPr>
          <w:rFonts w:ascii="Palatino Linotype" w:hAnsi="Palatino Linotype" w:cs="Arial"/>
          <w:sz w:val="22"/>
          <w:szCs w:val="22"/>
        </w:rPr>
        <w:t>; and</w:t>
      </w:r>
    </w:p>
    <w:p w14:paraId="471069D2" w14:textId="77777777"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(E) </w:t>
      </w:r>
      <w:r w:rsidRPr="007410D7">
        <w:rPr>
          <w:rFonts w:ascii="Palatino Linotype" w:hAnsi="Palatino Linotype" w:cs="Arial"/>
          <w:sz w:val="22"/>
          <w:szCs w:val="22"/>
        </w:rPr>
        <w:t xml:space="preserve">Disclose the specific findings and conclusions reached by the </w:t>
      </w:r>
      <w:r>
        <w:rPr>
          <w:rFonts w:ascii="Palatino Linotype" w:hAnsi="Palatino Linotype" w:cs="Arial"/>
          <w:sz w:val="22"/>
          <w:szCs w:val="22"/>
        </w:rPr>
        <w:t>health carrier</w:t>
      </w:r>
      <w:r w:rsidRPr="007410D7">
        <w:rPr>
          <w:rFonts w:ascii="Palatino Linotype" w:hAnsi="Palatino Linotype" w:cs="Arial"/>
          <w:sz w:val="22"/>
          <w:szCs w:val="22"/>
        </w:rPr>
        <w:t xml:space="preserve"> that the results of the analyses above indicate that the </w:t>
      </w:r>
      <w:r>
        <w:rPr>
          <w:rFonts w:ascii="Palatino Linotype" w:hAnsi="Palatino Linotype" w:cs="Arial"/>
          <w:sz w:val="22"/>
          <w:szCs w:val="22"/>
        </w:rPr>
        <w:t>health carrier</w:t>
      </w:r>
      <w:r w:rsidRPr="007410D7">
        <w:rPr>
          <w:rFonts w:ascii="Palatino Linotype" w:hAnsi="Palatino Linotype" w:cs="Arial"/>
          <w:sz w:val="22"/>
          <w:szCs w:val="22"/>
        </w:rPr>
        <w:t xml:space="preserve"> is in compliance with this section and the Mental Health Parity and Addiction Equity Act of 2008 and its implementing and related regulations, which includes 45 CFR 146.136, 45 CFR 14</w:t>
      </w:r>
      <w:r w:rsidR="00C30FC7">
        <w:rPr>
          <w:rFonts w:ascii="Palatino Linotype" w:hAnsi="Palatino Linotype" w:cs="Arial"/>
          <w:sz w:val="22"/>
          <w:szCs w:val="22"/>
        </w:rPr>
        <w:t>7.160, and 45 CFR 156.115(a)(3);</w:t>
      </w:r>
    </w:p>
    <w:p w14:paraId="5BB8837D" w14:textId="77777777" w:rsidR="007410D7" w:rsidRDefault="00834541" w:rsidP="007410D7">
      <w:pPr>
        <w:ind w:firstLine="720"/>
        <w:rPr>
          <w:rFonts w:ascii="Palatino Linotype" w:hAnsi="Palatino Linotype" w:cs="Arial"/>
          <w:sz w:val="22"/>
          <w:szCs w:val="22"/>
        </w:rPr>
      </w:pPr>
      <w:r>
        <w:rPr>
          <w:rFonts w:ascii="Palatino Linotype" w:hAnsi="Palatino Linotype" w:cs="Arial"/>
          <w:sz w:val="22"/>
          <w:szCs w:val="22"/>
        </w:rPr>
        <w:t>Sec. 3. (NEW) (</w:t>
      </w:r>
      <w:r w:rsidRPr="00834541">
        <w:rPr>
          <w:rFonts w:ascii="Palatino Linotype" w:hAnsi="Palatino Linotype" w:cs="Arial"/>
          <w:i/>
          <w:sz w:val="22"/>
          <w:szCs w:val="22"/>
        </w:rPr>
        <w:t>Effective January 1, 2020</w:t>
      </w:r>
      <w:r>
        <w:rPr>
          <w:rFonts w:ascii="Palatino Linotype" w:hAnsi="Palatino Linotype" w:cs="Arial"/>
          <w:sz w:val="22"/>
          <w:szCs w:val="22"/>
        </w:rPr>
        <w:t>) (a)</w:t>
      </w:r>
      <w:r w:rsidR="00B04AC9">
        <w:rPr>
          <w:rFonts w:ascii="Palatino Linotype" w:hAnsi="Palatino Linotype" w:cs="Arial"/>
          <w:sz w:val="22"/>
          <w:szCs w:val="22"/>
        </w:rPr>
        <w:t xml:space="preserve"> </w:t>
      </w:r>
      <w:r w:rsidR="00B04AC9" w:rsidRPr="00B04AC9">
        <w:rPr>
          <w:rFonts w:ascii="Palatino Linotype" w:hAnsi="Palatino Linotype" w:cs="Arial"/>
          <w:sz w:val="22"/>
          <w:szCs w:val="22"/>
        </w:rPr>
        <w:t xml:space="preserve">The </w:t>
      </w:r>
      <w:r w:rsidR="00B04AC9">
        <w:rPr>
          <w:rFonts w:ascii="Palatino Linotype" w:hAnsi="Palatino Linotype" w:cs="Arial"/>
          <w:sz w:val="22"/>
          <w:szCs w:val="22"/>
        </w:rPr>
        <w:t>Commissioner</w:t>
      </w:r>
      <w:r w:rsidR="00B04AC9" w:rsidRPr="00B04AC9">
        <w:rPr>
          <w:rFonts w:ascii="Palatino Linotype" w:hAnsi="Palatino Linotype" w:cs="Arial"/>
          <w:sz w:val="22"/>
          <w:szCs w:val="22"/>
        </w:rPr>
        <w:t xml:space="preserve"> shall implement and enforce applicable provisions of the Paul Wellstone and Pete Domenici Mental </w:t>
      </w:r>
      <w:r w:rsidR="00B04AC9" w:rsidRPr="00B04AC9">
        <w:rPr>
          <w:rFonts w:ascii="Palatino Linotype" w:hAnsi="Palatino Linotype" w:cs="Arial"/>
          <w:sz w:val="22"/>
          <w:szCs w:val="22"/>
        </w:rPr>
        <w:lastRenderedPageBreak/>
        <w:t>Health Parity and Addiction Equity Act of 2008, and any amendments to, and any federal guidance or regulations relevant to, that act, including 45 CFR 146.136, 45 CFR 147.136, 45 CFR 147.160, and 45 CFR 156.115(a)(3), which includes:</w:t>
      </w:r>
    </w:p>
    <w:p w14:paraId="50994952" w14:textId="77777777" w:rsidR="00B04AC9" w:rsidRPr="00B04AC9" w:rsidRDefault="00B04AC9" w:rsidP="00B04AC9">
      <w:pPr>
        <w:ind w:firstLine="720"/>
        <w:rPr>
          <w:rFonts w:ascii="Palatino Linotype" w:hAnsi="Palatino Linotype" w:cs="Arial"/>
          <w:sz w:val="22"/>
          <w:szCs w:val="22"/>
        </w:rPr>
      </w:pPr>
      <w:r>
        <w:rPr>
          <w:rFonts w:ascii="Palatino Linotype" w:hAnsi="Palatino Linotype" w:cs="Arial"/>
          <w:sz w:val="22"/>
          <w:szCs w:val="22"/>
        </w:rPr>
        <w:t xml:space="preserve">(1) </w:t>
      </w:r>
      <w:r w:rsidRPr="00B04AC9">
        <w:rPr>
          <w:rFonts w:ascii="Palatino Linotype" w:hAnsi="Palatino Linotype" w:cs="Arial"/>
          <w:sz w:val="22"/>
          <w:szCs w:val="22"/>
        </w:rPr>
        <w:t xml:space="preserve">Proactively ensuring compliance by </w:t>
      </w:r>
      <w:r w:rsidR="00C30FC7">
        <w:rPr>
          <w:rFonts w:ascii="Palatino Linotype" w:hAnsi="Palatino Linotype" w:cs="Arial"/>
          <w:sz w:val="22"/>
          <w:szCs w:val="22"/>
        </w:rPr>
        <w:t>health carrier</w:t>
      </w:r>
      <w:r w:rsidR="00DF7667">
        <w:rPr>
          <w:rFonts w:ascii="Palatino Linotype" w:hAnsi="Palatino Linotype" w:cs="Arial"/>
          <w:sz w:val="22"/>
          <w:szCs w:val="22"/>
        </w:rPr>
        <w:t>s</w:t>
      </w:r>
      <w:r w:rsidR="00C30FC7">
        <w:rPr>
          <w:rFonts w:ascii="Palatino Linotype" w:hAnsi="Palatino Linotype" w:cs="Arial"/>
          <w:sz w:val="22"/>
          <w:szCs w:val="22"/>
        </w:rPr>
        <w:t>;</w:t>
      </w:r>
    </w:p>
    <w:p w14:paraId="239EB2BF"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(2) </w:t>
      </w:r>
      <w:r w:rsidR="00B04AC9" w:rsidRPr="00B04AC9">
        <w:rPr>
          <w:rFonts w:ascii="Palatino Linotype" w:hAnsi="Palatino Linotype" w:cs="Arial"/>
          <w:sz w:val="22"/>
          <w:szCs w:val="22"/>
        </w:rPr>
        <w:t>Evaluating all consumer or provider complaints regarding mental health and substance use disorder coverage</w:t>
      </w:r>
      <w:r w:rsidR="00DF7667">
        <w:rPr>
          <w:rFonts w:ascii="Palatino Linotype" w:hAnsi="Palatino Linotype" w:cs="Arial"/>
          <w:sz w:val="22"/>
          <w:szCs w:val="22"/>
        </w:rPr>
        <w:t xml:space="preserve"> for possible parity violations;</w:t>
      </w:r>
    </w:p>
    <w:p w14:paraId="1A3C08B4"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(3) </w:t>
      </w:r>
      <w:r w:rsidR="00B04AC9" w:rsidRPr="00B04AC9">
        <w:rPr>
          <w:rFonts w:ascii="Palatino Linotype" w:hAnsi="Palatino Linotype" w:cs="Arial"/>
          <w:sz w:val="22"/>
          <w:szCs w:val="22"/>
        </w:rPr>
        <w:t xml:space="preserve">Performing parity compliance market conduct examinations of </w:t>
      </w:r>
      <w:r w:rsidR="00DF7667">
        <w:rPr>
          <w:rFonts w:ascii="Palatino Linotype" w:hAnsi="Palatino Linotype" w:cs="Arial"/>
          <w:sz w:val="22"/>
          <w:szCs w:val="22"/>
        </w:rPr>
        <w:t>health carriers</w:t>
      </w:r>
      <w:r w:rsidR="00B04AC9" w:rsidRPr="00B04AC9">
        <w:rPr>
          <w:rFonts w:ascii="Palatino Linotype" w:hAnsi="Palatino Linotype" w:cs="Arial"/>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1A3992">
        <w:rPr>
          <w:rFonts w:ascii="Palatino Linotype" w:hAnsi="Palatino Linotype" w:cs="Arial"/>
          <w:sz w:val="22"/>
          <w:szCs w:val="22"/>
        </w:rPr>
        <w:t>ntitative treatment limitations;</w:t>
      </w:r>
    </w:p>
    <w:p w14:paraId="0C26A787"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(4) </w:t>
      </w:r>
      <w:r w:rsidR="00B04AC9" w:rsidRPr="00B04AC9">
        <w:rPr>
          <w:rFonts w:ascii="Palatino Linotype" w:hAnsi="Palatino Linotype" w:cs="Arial"/>
          <w:sz w:val="22"/>
          <w:szCs w:val="22"/>
        </w:rPr>
        <w:t xml:space="preserve">Requesting that </w:t>
      </w:r>
      <w:r w:rsidR="00F91460">
        <w:rPr>
          <w:rFonts w:ascii="Palatino Linotype" w:hAnsi="Palatino Linotype" w:cs="Arial"/>
          <w:sz w:val="22"/>
          <w:szCs w:val="22"/>
        </w:rPr>
        <w:t>health carriers</w:t>
      </w:r>
      <w:r w:rsidR="00B04AC9" w:rsidRPr="00B04AC9">
        <w:rPr>
          <w:rFonts w:ascii="Palatino Linotype" w:hAnsi="Palatino Linotype" w:cs="Arial"/>
          <w:sz w:val="22"/>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535F53">
        <w:rPr>
          <w:rFonts w:ascii="Palatino Linotype" w:hAnsi="Palatino Linotype" w:cs="Arial"/>
          <w:sz w:val="22"/>
          <w:szCs w:val="22"/>
        </w:rPr>
        <w:t>r medical and surgical benefits; and</w:t>
      </w:r>
    </w:p>
    <w:p w14:paraId="41F59A1E" w14:textId="77777777" w:rsid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(5) </w:t>
      </w:r>
      <w:r w:rsidR="00B04AC9" w:rsidRPr="00B04AC9">
        <w:rPr>
          <w:rFonts w:ascii="Palatino Linotype" w:hAnsi="Palatino Linotype" w:cs="Arial"/>
          <w:sz w:val="22"/>
          <w:szCs w:val="22"/>
        </w:rPr>
        <w:t xml:space="preserve">The Commissioner </w:t>
      </w:r>
      <w:r w:rsidR="007E6D96">
        <w:rPr>
          <w:rFonts w:ascii="Palatino Linotype" w:hAnsi="Palatino Linotype" w:cs="Arial"/>
          <w:sz w:val="22"/>
          <w:szCs w:val="22"/>
        </w:rPr>
        <w:t>shall</w:t>
      </w:r>
      <w:r w:rsidR="00B04AC9" w:rsidRPr="00B04AC9">
        <w:rPr>
          <w:rFonts w:ascii="Palatino Linotype" w:hAnsi="Palatino Linotype" w:cs="Arial"/>
          <w:sz w:val="22"/>
          <w:szCs w:val="22"/>
        </w:rPr>
        <w:t xml:space="preserve"> adopt </w:t>
      </w:r>
      <w:r w:rsidR="007E6D96">
        <w:rPr>
          <w:rFonts w:ascii="Palatino Linotype" w:hAnsi="Palatino Linotype" w:cs="Arial"/>
          <w:sz w:val="22"/>
          <w:szCs w:val="22"/>
        </w:rPr>
        <w:t>regulations</w:t>
      </w:r>
      <w:r w:rsidR="00B04AC9" w:rsidRPr="00B04AC9">
        <w:rPr>
          <w:rFonts w:ascii="Palatino Linotype" w:hAnsi="Palatino Linotype" w:cs="Arial"/>
          <w:sz w:val="22"/>
          <w:szCs w:val="22"/>
        </w:rPr>
        <w:t xml:space="preserve">, </w:t>
      </w:r>
      <w:r w:rsidR="007E6D96">
        <w:rPr>
          <w:rFonts w:ascii="Palatino Linotype" w:hAnsi="Palatino Linotype" w:cs="Arial"/>
          <w:sz w:val="22"/>
          <w:szCs w:val="22"/>
        </w:rPr>
        <w:t>in accordance with Chapter 54,</w:t>
      </w:r>
      <w:r w:rsidR="00B04AC9" w:rsidRPr="00B04AC9">
        <w:rPr>
          <w:rFonts w:ascii="Palatino Linotype" w:hAnsi="Palatino Linotype" w:cs="Arial"/>
          <w:sz w:val="22"/>
          <w:szCs w:val="22"/>
        </w:rPr>
        <w:t xml:space="preserve"> as may be necessary to </w:t>
      </w:r>
      <w:r w:rsidR="007E6D96">
        <w:rPr>
          <w:rFonts w:ascii="Palatino Linotype" w:hAnsi="Palatino Linotype" w:cs="Arial"/>
          <w:sz w:val="22"/>
          <w:szCs w:val="22"/>
        </w:rPr>
        <w:t>i</w:t>
      </w:r>
      <w:r w:rsidR="001F4F24">
        <w:rPr>
          <w:rFonts w:ascii="Palatino Linotype" w:hAnsi="Palatino Linotype" w:cs="Arial"/>
          <w:sz w:val="22"/>
          <w:szCs w:val="22"/>
        </w:rPr>
        <w:t>mplement sections 2 to 4</w:t>
      </w:r>
      <w:r w:rsidR="007E6D96">
        <w:rPr>
          <w:rFonts w:ascii="Palatino Linotype" w:hAnsi="Palatino Linotype" w:cs="Arial"/>
          <w:sz w:val="22"/>
          <w:szCs w:val="22"/>
        </w:rPr>
        <w:t>, inclusive, of this act, and</w:t>
      </w:r>
      <w:r w:rsidR="00B04AC9" w:rsidRPr="00B04AC9">
        <w:rPr>
          <w:rFonts w:ascii="Palatino Linotype" w:hAnsi="Palatino Linotype" w:cs="Arial"/>
          <w:sz w:val="22"/>
          <w:szCs w:val="22"/>
        </w:rPr>
        <w:t xml:space="preserve"> any provisions of the Paul Wellstone and Pete Domenici Mental Health Parity and Addiction Equity Act of 2008 that relate to the business of insurance.</w:t>
      </w:r>
    </w:p>
    <w:p w14:paraId="062653F5" w14:textId="77777777" w:rsidR="00DB7D49" w:rsidRDefault="00DB7D49" w:rsidP="00B04AC9">
      <w:pPr>
        <w:ind w:firstLine="720"/>
        <w:rPr>
          <w:rFonts w:ascii="Palatino Linotype" w:hAnsi="Palatino Linotype" w:cs="Arial"/>
          <w:sz w:val="22"/>
          <w:szCs w:val="22"/>
        </w:rPr>
      </w:pPr>
      <w:r>
        <w:rPr>
          <w:rFonts w:ascii="Palatino Linotype" w:hAnsi="Palatino Linotype" w:cs="Arial"/>
          <w:sz w:val="22"/>
          <w:szCs w:val="22"/>
        </w:rPr>
        <w:t xml:space="preserve">(b) </w:t>
      </w:r>
      <w:r w:rsidRPr="00DB7D49">
        <w:rPr>
          <w:rFonts w:ascii="Palatino Linotype" w:hAnsi="Palatino Linotype" w:cs="Arial"/>
          <w:sz w:val="22"/>
          <w:szCs w:val="22"/>
        </w:rPr>
        <w:t xml:space="preserve">Not later than </w:t>
      </w:r>
      <w:r w:rsidR="006D4D5D">
        <w:rPr>
          <w:rFonts w:ascii="Palatino Linotype" w:hAnsi="Palatino Linotype" w:cs="Arial"/>
          <w:sz w:val="22"/>
          <w:szCs w:val="22"/>
        </w:rPr>
        <w:t>April first</w:t>
      </w:r>
      <w:r w:rsidRPr="00DB7D49">
        <w:rPr>
          <w:rFonts w:ascii="Palatino Linotype" w:hAnsi="Palatino Linotype" w:cs="Arial"/>
          <w:sz w:val="22"/>
          <w:szCs w:val="22"/>
        </w:rPr>
        <w:t>,</w:t>
      </w:r>
      <w:r>
        <w:rPr>
          <w:rFonts w:ascii="Palatino Linotype" w:hAnsi="Palatino Linotype" w:cs="Arial"/>
          <w:sz w:val="22"/>
          <w:szCs w:val="22"/>
        </w:rPr>
        <w:t xml:space="preserve"> 2020,</w:t>
      </w:r>
      <w:r w:rsidRPr="00DB7D49">
        <w:rPr>
          <w:rFonts w:ascii="Palatino Linotype" w:hAnsi="Palatino Linotype" w:cs="Arial"/>
          <w:sz w:val="22"/>
          <w:szCs w:val="22"/>
        </w:rPr>
        <w:t xml:space="preserve"> the </w:t>
      </w:r>
      <w:r>
        <w:rPr>
          <w:rFonts w:ascii="Palatino Linotype" w:hAnsi="Palatino Linotype" w:cs="Arial"/>
          <w:sz w:val="22"/>
          <w:szCs w:val="22"/>
        </w:rPr>
        <w:t>Commissioner</w:t>
      </w:r>
      <w:r w:rsidRPr="00DB7D49">
        <w:rPr>
          <w:rFonts w:ascii="Palatino Linotype" w:hAnsi="Palatino Linotype" w:cs="Arial"/>
          <w:sz w:val="22"/>
          <w:szCs w:val="22"/>
        </w:rPr>
        <w:t xml:space="preserve"> shall issue a report </w:t>
      </w:r>
      <w:r>
        <w:rPr>
          <w:rFonts w:ascii="Palatino Linotype" w:hAnsi="Palatino Linotype" w:cs="Arial"/>
          <w:sz w:val="22"/>
          <w:szCs w:val="22"/>
        </w:rPr>
        <w:t>and educational presentation to the General Assembly, which</w:t>
      </w:r>
      <w:r w:rsidRPr="00DB7D49">
        <w:rPr>
          <w:rFonts w:ascii="Palatino Linotype" w:hAnsi="Palatino Linotype" w:cs="Arial"/>
          <w:sz w:val="22"/>
          <w:szCs w:val="22"/>
        </w:rPr>
        <w:t xml:space="preserve"> shall:</w:t>
      </w:r>
    </w:p>
    <w:p w14:paraId="076F966E"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(1) </w:t>
      </w:r>
      <w:r w:rsidRPr="00DB7D49">
        <w:rPr>
          <w:rFonts w:ascii="Palatino Linotype" w:hAnsi="Palatino Linotype" w:cs="Arial"/>
          <w:sz w:val="22"/>
          <w:szCs w:val="22"/>
        </w:rPr>
        <w:t xml:space="preserve">Cover the methodology the </w:t>
      </w:r>
      <w:r>
        <w:rPr>
          <w:rFonts w:ascii="Palatino Linotype" w:hAnsi="Palatino Linotype" w:cs="Arial"/>
          <w:sz w:val="22"/>
          <w:szCs w:val="22"/>
        </w:rPr>
        <w:t>Commissioner</w:t>
      </w:r>
      <w:r w:rsidRPr="00DB7D49">
        <w:rPr>
          <w:rFonts w:ascii="Palatino Linotype" w:hAnsi="Palatino Linotype" w:cs="Arial"/>
          <w:sz w:val="22"/>
          <w:szCs w:val="22"/>
        </w:rPr>
        <w:t xml:space="preserve"> is using to check for compliance with the federal Paul Wellstone and Pete Domenici Mental Health Parity and Addiction Equity Act of 2008 (MHPAEA), and any federal regulations or guidance relating to the compliance and ov</w:t>
      </w:r>
      <w:r>
        <w:rPr>
          <w:rFonts w:ascii="Palatino Linotype" w:hAnsi="Palatino Linotype" w:cs="Arial"/>
          <w:sz w:val="22"/>
          <w:szCs w:val="22"/>
        </w:rPr>
        <w:t xml:space="preserve">ersight of MHPAEA; </w:t>
      </w:r>
    </w:p>
    <w:p w14:paraId="5EEAA4D2"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(2) </w:t>
      </w:r>
      <w:r w:rsidRPr="00DB7D49">
        <w:rPr>
          <w:rFonts w:ascii="Palatino Linotype" w:hAnsi="Palatino Linotype" w:cs="Arial"/>
          <w:sz w:val="22"/>
          <w:szCs w:val="22"/>
        </w:rPr>
        <w:t xml:space="preserve">Cover the methodology the </w:t>
      </w:r>
      <w:r>
        <w:rPr>
          <w:rFonts w:ascii="Palatino Linotype" w:hAnsi="Palatino Linotype" w:cs="Arial"/>
          <w:sz w:val="22"/>
          <w:szCs w:val="22"/>
        </w:rPr>
        <w:t>Commissioner</w:t>
      </w:r>
      <w:r w:rsidRPr="00DB7D49">
        <w:rPr>
          <w:rFonts w:ascii="Palatino Linotype" w:hAnsi="Palatino Linotype" w:cs="Arial"/>
          <w:sz w:val="22"/>
          <w:szCs w:val="22"/>
        </w:rPr>
        <w:t xml:space="preserve"> is using to check for compliance with</w:t>
      </w:r>
      <w:r>
        <w:rPr>
          <w:rFonts w:ascii="Palatino Linotype" w:hAnsi="Palatino Linotype" w:cs="Arial"/>
          <w:sz w:val="22"/>
          <w:szCs w:val="22"/>
        </w:rPr>
        <w:t xml:space="preserve"> sections</w:t>
      </w:r>
      <w:r w:rsidRPr="00DB7D49">
        <w:rPr>
          <w:rFonts w:ascii="Palatino Linotype" w:hAnsi="Palatino Linotype" w:cs="Arial"/>
          <w:sz w:val="22"/>
          <w:szCs w:val="22"/>
        </w:rPr>
        <w:t xml:space="preserve"> 38a-488a</w:t>
      </w:r>
      <w:r>
        <w:rPr>
          <w:rFonts w:ascii="Palatino Linotype" w:hAnsi="Palatino Linotype" w:cs="Arial"/>
          <w:sz w:val="22"/>
          <w:szCs w:val="22"/>
        </w:rPr>
        <w:t xml:space="preserve"> and 38a-514;</w:t>
      </w:r>
    </w:p>
    <w:p w14:paraId="6AC1E23B"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(3) </w:t>
      </w:r>
      <w:r w:rsidRPr="00DB7D49">
        <w:rPr>
          <w:rFonts w:ascii="Palatino Linotype" w:hAnsi="Palatino Linotype" w:cs="Arial"/>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Pr>
          <w:rFonts w:ascii="Palatino Linotype" w:hAnsi="Palatino Linotype" w:cs="Arial"/>
          <w:sz w:val="22"/>
          <w:szCs w:val="22"/>
        </w:rPr>
        <w:t>ch market conduct examinations;</w:t>
      </w:r>
    </w:p>
    <w:p w14:paraId="2B10D863" w14:textId="1928CC2F"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(4) </w:t>
      </w:r>
      <w:r w:rsidRPr="00DB7D49">
        <w:rPr>
          <w:rFonts w:ascii="Palatino Linotype" w:hAnsi="Palatino Linotype" w:cs="Arial"/>
          <w:sz w:val="22"/>
          <w:szCs w:val="22"/>
        </w:rPr>
        <w:t xml:space="preserve">Detail any educational or corrective actions the </w:t>
      </w:r>
      <w:r w:rsidR="00402090">
        <w:rPr>
          <w:rFonts w:ascii="Palatino Linotype" w:hAnsi="Palatino Linotype" w:cs="Arial"/>
          <w:sz w:val="22"/>
          <w:szCs w:val="22"/>
        </w:rPr>
        <w:t>Commissioner</w:t>
      </w:r>
      <w:r w:rsidRPr="00DB7D49">
        <w:rPr>
          <w:rFonts w:ascii="Palatino Linotype" w:hAnsi="Palatino Linotype" w:cs="Arial"/>
          <w:sz w:val="22"/>
          <w:szCs w:val="22"/>
        </w:rPr>
        <w:t xml:space="preserve"> has taken to ensure </w:t>
      </w:r>
      <w:r w:rsidR="00AB5434">
        <w:rPr>
          <w:rFonts w:ascii="Palatino Linotype" w:hAnsi="Palatino Linotype" w:cs="Arial"/>
          <w:sz w:val="22"/>
          <w:szCs w:val="22"/>
        </w:rPr>
        <w:t>health carrier</w:t>
      </w:r>
      <w:bookmarkStart w:id="0" w:name="_GoBack"/>
      <w:bookmarkEnd w:id="0"/>
      <w:r w:rsidRPr="00DB7D49">
        <w:rPr>
          <w:rFonts w:ascii="Palatino Linotype" w:hAnsi="Palatino Linotype" w:cs="Arial"/>
          <w:sz w:val="22"/>
          <w:szCs w:val="22"/>
        </w:rPr>
        <w:t xml:space="preserve"> compliance with MHPAEA and </w:t>
      </w:r>
      <w:r>
        <w:rPr>
          <w:rFonts w:ascii="Palatino Linotype" w:hAnsi="Palatino Linotype" w:cs="Arial"/>
          <w:sz w:val="22"/>
          <w:szCs w:val="22"/>
        </w:rPr>
        <w:t>sections</w:t>
      </w:r>
      <w:r w:rsidRPr="00DB7D49">
        <w:rPr>
          <w:rFonts w:ascii="Palatino Linotype" w:hAnsi="Palatino Linotype" w:cs="Arial"/>
          <w:sz w:val="22"/>
          <w:szCs w:val="22"/>
        </w:rPr>
        <w:t xml:space="preserve"> 38a-488a</w:t>
      </w:r>
      <w:r>
        <w:rPr>
          <w:rFonts w:ascii="Palatino Linotype" w:hAnsi="Palatino Linotype" w:cs="Arial"/>
          <w:sz w:val="22"/>
          <w:szCs w:val="22"/>
        </w:rPr>
        <w:t xml:space="preserve"> and 38a-514; and</w:t>
      </w:r>
    </w:p>
    <w:p w14:paraId="404A1778" w14:textId="77777777" w:rsid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(5) </w:t>
      </w:r>
      <w:r w:rsidRPr="00DB7D49">
        <w:rPr>
          <w:rFonts w:ascii="Palatino Linotype" w:hAnsi="Palatino Linotype" w:cs="Arial"/>
          <w:sz w:val="22"/>
          <w:szCs w:val="22"/>
        </w:rPr>
        <w:t xml:space="preserve">The report must be written in non-technical, readily understandable language and shall be made available to the public by, among such other means as the </w:t>
      </w:r>
      <w:r>
        <w:rPr>
          <w:rFonts w:ascii="Palatino Linotype" w:hAnsi="Palatino Linotype" w:cs="Arial"/>
          <w:sz w:val="22"/>
          <w:szCs w:val="22"/>
        </w:rPr>
        <w:t xml:space="preserve">Commissioner </w:t>
      </w:r>
      <w:r w:rsidRPr="00DB7D49">
        <w:rPr>
          <w:rFonts w:ascii="Palatino Linotype" w:hAnsi="Palatino Linotype" w:cs="Arial"/>
          <w:sz w:val="22"/>
          <w:szCs w:val="22"/>
        </w:rPr>
        <w:t xml:space="preserve">finds appropriate, posting the report on the </w:t>
      </w:r>
      <w:r>
        <w:rPr>
          <w:rFonts w:ascii="Palatino Linotype" w:hAnsi="Palatino Linotype" w:cs="Arial"/>
          <w:sz w:val="22"/>
          <w:szCs w:val="22"/>
        </w:rPr>
        <w:t>Internet website of the Insurance Department</w:t>
      </w:r>
      <w:r w:rsidRPr="00DB7D49">
        <w:rPr>
          <w:rFonts w:ascii="Palatino Linotype" w:hAnsi="Palatino Linotype" w:cs="Arial"/>
          <w:sz w:val="22"/>
          <w:szCs w:val="22"/>
        </w:rPr>
        <w:t>.</w:t>
      </w:r>
    </w:p>
    <w:p w14:paraId="757337B3" w14:textId="77777777" w:rsidR="00DB7D49" w:rsidRDefault="00C777A3" w:rsidP="00DB7D49">
      <w:pPr>
        <w:ind w:firstLine="720"/>
        <w:rPr>
          <w:rFonts w:ascii="Palatino Linotype" w:hAnsi="Palatino Linotype" w:cs="Arial"/>
          <w:sz w:val="22"/>
          <w:szCs w:val="22"/>
        </w:rPr>
      </w:pPr>
      <w:r>
        <w:rPr>
          <w:rFonts w:ascii="Palatino Linotype" w:hAnsi="Palatino Linotype" w:cs="Arial"/>
          <w:sz w:val="22"/>
          <w:szCs w:val="22"/>
        </w:rPr>
        <w:t>Sec. 4. (NEW) (</w:t>
      </w:r>
      <w:r w:rsidRPr="00834541">
        <w:rPr>
          <w:rFonts w:ascii="Palatino Linotype" w:hAnsi="Palatino Linotype" w:cs="Arial"/>
          <w:i/>
          <w:sz w:val="22"/>
          <w:szCs w:val="22"/>
        </w:rPr>
        <w:t>Effective January 1, 2020</w:t>
      </w:r>
      <w:r>
        <w:rPr>
          <w:rFonts w:ascii="Palatino Linotype" w:hAnsi="Palatino Linotype" w:cs="Arial"/>
          <w:sz w:val="22"/>
          <w:szCs w:val="22"/>
        </w:rPr>
        <w:t xml:space="preserve">) (a) Each health carrier that provides prescription drug benefits for the treatment of substance use disorders shall </w:t>
      </w:r>
      <w:r w:rsidRPr="00C777A3">
        <w:rPr>
          <w:rFonts w:ascii="Palatino Linotype" w:hAnsi="Palatino Linotype" w:cs="Arial"/>
          <w:sz w:val="22"/>
          <w:szCs w:val="22"/>
        </w:rPr>
        <w:t>not impose any prior authorization requirements on any prescription medication approved by the federal Food and Drug Administration (FDA) for the treatment of substance use disorders.</w:t>
      </w:r>
    </w:p>
    <w:p w14:paraId="602CB773" w14:textId="77777777" w:rsidR="00C777A3" w:rsidRDefault="00C777A3" w:rsidP="00DB7D49">
      <w:pPr>
        <w:ind w:firstLine="720"/>
        <w:rPr>
          <w:rFonts w:ascii="Palatino Linotype" w:hAnsi="Palatino Linotype" w:cs="Arial"/>
          <w:sz w:val="22"/>
          <w:szCs w:val="22"/>
        </w:rPr>
      </w:pPr>
      <w:r>
        <w:rPr>
          <w:rFonts w:ascii="Palatino Linotype" w:hAnsi="Palatino Linotype" w:cs="Arial"/>
          <w:sz w:val="22"/>
          <w:szCs w:val="22"/>
        </w:rPr>
        <w:lastRenderedPageBreak/>
        <w:t xml:space="preserve">(b) Each health carrier that provides prescription drug benefits for the treatment of substance use disorders shall </w:t>
      </w:r>
      <w:r w:rsidRPr="00C777A3">
        <w:rPr>
          <w:rFonts w:ascii="Palatino Linotype" w:hAnsi="Palatino Linotype" w:cs="Arial"/>
          <w:sz w:val="22"/>
          <w:szCs w:val="22"/>
        </w:rPr>
        <w:t>not</w:t>
      </w:r>
      <w:r>
        <w:rPr>
          <w:rFonts w:ascii="Palatino Linotype" w:hAnsi="Palatino Linotype" w:cs="Arial"/>
          <w:sz w:val="22"/>
          <w:szCs w:val="22"/>
        </w:rPr>
        <w:t xml:space="preserve"> </w:t>
      </w:r>
      <w:r w:rsidRPr="00C777A3">
        <w:rPr>
          <w:rFonts w:ascii="Palatino Linotype" w:hAnsi="Palatino Linotype" w:cs="Arial"/>
          <w:sz w:val="22"/>
          <w:szCs w:val="22"/>
        </w:rPr>
        <w:t xml:space="preserve">impose any step therapy requirements before the </w:t>
      </w:r>
      <w:r w:rsidR="00F607CA">
        <w:rPr>
          <w:rFonts w:ascii="Palatino Linotype" w:hAnsi="Palatino Linotype" w:cs="Arial"/>
          <w:sz w:val="22"/>
          <w:szCs w:val="22"/>
        </w:rPr>
        <w:t>health carrier</w:t>
      </w:r>
      <w:r w:rsidRPr="00C777A3">
        <w:rPr>
          <w:rFonts w:ascii="Palatino Linotype" w:hAnsi="Palatino Linotype" w:cs="Arial"/>
          <w:sz w:val="22"/>
          <w:szCs w:val="22"/>
        </w:rPr>
        <w:t xml:space="preserve"> will authorize coverage for a prescription medication approved by the FDA for the treatment of substance use disorders.</w:t>
      </w:r>
    </w:p>
    <w:p w14:paraId="2E86A67F" w14:textId="77777777" w:rsidR="0076461E" w:rsidRDefault="0076461E" w:rsidP="00DB7D49">
      <w:pPr>
        <w:ind w:firstLine="720"/>
        <w:rPr>
          <w:rFonts w:ascii="Palatino Linotype" w:hAnsi="Palatino Linotype" w:cs="Arial"/>
          <w:sz w:val="22"/>
          <w:szCs w:val="22"/>
        </w:rPr>
      </w:pPr>
      <w:r>
        <w:rPr>
          <w:rFonts w:ascii="Palatino Linotype" w:hAnsi="Palatino Linotype" w:cs="Arial"/>
          <w:sz w:val="22"/>
          <w:szCs w:val="22"/>
        </w:rPr>
        <w:t xml:space="preserve">(c) Each health carrier that provides prescription drug benefits for the treatment of substance use disorders shall </w:t>
      </w:r>
      <w:r w:rsidRPr="0076461E">
        <w:rPr>
          <w:rFonts w:ascii="Palatino Linotype" w:hAnsi="Palatino Linotype" w:cs="Arial"/>
          <w:sz w:val="22"/>
          <w:szCs w:val="22"/>
        </w:rPr>
        <w:t xml:space="preserve">place all prescription medications approved by the FDA for the treatment of substance use disorders on the lowest tier of the drug formulary developed and maintained by the </w:t>
      </w:r>
      <w:r w:rsidR="00F607CA">
        <w:rPr>
          <w:rFonts w:ascii="Palatino Linotype" w:hAnsi="Palatino Linotype" w:cs="Arial"/>
          <w:sz w:val="22"/>
          <w:szCs w:val="22"/>
        </w:rPr>
        <w:t>health carrier</w:t>
      </w:r>
      <w:r w:rsidRPr="0076461E">
        <w:rPr>
          <w:rFonts w:ascii="Palatino Linotype" w:hAnsi="Palatino Linotype" w:cs="Arial"/>
          <w:sz w:val="22"/>
          <w:szCs w:val="22"/>
        </w:rPr>
        <w:t>.</w:t>
      </w:r>
    </w:p>
    <w:p w14:paraId="7EAE294E" w14:textId="77777777" w:rsidR="00580655" w:rsidRDefault="00F607CA" w:rsidP="00580655">
      <w:pPr>
        <w:ind w:firstLine="720"/>
        <w:rPr>
          <w:rFonts w:ascii="Palatino Linotype" w:hAnsi="Palatino Linotype" w:cs="Arial"/>
          <w:sz w:val="22"/>
          <w:szCs w:val="22"/>
        </w:rPr>
      </w:pPr>
      <w:r>
        <w:rPr>
          <w:rFonts w:ascii="Palatino Linotype" w:hAnsi="Palatino Linotype" w:cs="Arial"/>
          <w:sz w:val="22"/>
          <w:szCs w:val="22"/>
        </w:rPr>
        <w:t xml:space="preserve">(d) Each health carrier that provides prescription drug benefits for the treatment of substance use disorders shall not </w:t>
      </w:r>
      <w:r w:rsidRPr="00F607CA">
        <w:rPr>
          <w:rFonts w:ascii="Palatino Linotype" w:hAnsi="Palatino Linotype" w:cs="Arial"/>
          <w:sz w:val="22"/>
          <w:szCs w:val="22"/>
        </w:rPr>
        <w:t>exclude coverage for any prescription medication approved by the FDA for the treatment of substance use disorders and any associated counseling or wraparound services on the grounds that such medications and services were court ordered.</w:t>
      </w:r>
    </w:p>
    <w:p w14:paraId="7A738700" w14:textId="77777777" w:rsidR="00580655" w:rsidRDefault="00580655" w:rsidP="00580655">
      <w:pPr>
        <w:rPr>
          <w:rFonts w:ascii="Palatino Linotype" w:hAnsi="Palatino Linotype" w:cs="Arial"/>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2881"/>
      </w:tblGrid>
      <w:tr w:rsidR="00580655" w14:paraId="02987963" w14:textId="77777777" w:rsidTr="004D71AE">
        <w:trPr>
          <w:trHeight w:val="895"/>
        </w:trPr>
        <w:tc>
          <w:tcPr>
            <w:tcW w:w="7202" w:type="dxa"/>
            <w:gridSpan w:val="3"/>
          </w:tcPr>
          <w:p w14:paraId="3D0EF9F8" w14:textId="77777777" w:rsidR="00580655" w:rsidRDefault="00580655" w:rsidP="004D71AE">
            <w:pPr>
              <w:pStyle w:val="TableParagraph"/>
              <w:spacing w:before="0" w:line="220" w:lineRule="auto"/>
              <w:ind w:left="107" w:right="116"/>
              <w:rPr>
                <w:sz w:val="24"/>
              </w:rPr>
            </w:pPr>
            <w:r>
              <w:rPr>
                <w:sz w:val="24"/>
              </w:rPr>
              <w:t>This act shall take effect as follows and shall amend the following sections:</w:t>
            </w:r>
          </w:p>
        </w:tc>
      </w:tr>
      <w:tr w:rsidR="00580655" w14:paraId="400EB768" w14:textId="77777777" w:rsidTr="004D71AE">
        <w:trPr>
          <w:trHeight w:val="297"/>
        </w:trPr>
        <w:tc>
          <w:tcPr>
            <w:tcW w:w="1440" w:type="dxa"/>
          </w:tcPr>
          <w:p w14:paraId="2E7579B9" w14:textId="77777777" w:rsidR="00580655" w:rsidRDefault="00580655" w:rsidP="004D71AE">
            <w:pPr>
              <w:pStyle w:val="TableParagraph"/>
              <w:spacing w:before="0" w:line="277" w:lineRule="exact"/>
              <w:ind w:left="107"/>
              <w:rPr>
                <w:sz w:val="24"/>
              </w:rPr>
            </w:pPr>
            <w:r>
              <w:rPr>
                <w:sz w:val="24"/>
              </w:rPr>
              <w:t>Section 1</w:t>
            </w:r>
          </w:p>
        </w:tc>
        <w:tc>
          <w:tcPr>
            <w:tcW w:w="2881" w:type="dxa"/>
          </w:tcPr>
          <w:p w14:paraId="6BCB6EDF" w14:textId="77777777" w:rsidR="00580655" w:rsidRDefault="00580655" w:rsidP="004D71AE">
            <w:pPr>
              <w:pStyle w:val="TableParagraph"/>
              <w:spacing w:before="0" w:line="277" w:lineRule="exact"/>
              <w:ind w:left="107"/>
              <w:rPr>
                <w:i/>
                <w:sz w:val="24"/>
              </w:rPr>
            </w:pPr>
            <w:r>
              <w:rPr>
                <w:i/>
                <w:sz w:val="24"/>
              </w:rPr>
              <w:t>January 1, 2020</w:t>
            </w:r>
          </w:p>
        </w:tc>
        <w:tc>
          <w:tcPr>
            <w:tcW w:w="2881" w:type="dxa"/>
          </w:tcPr>
          <w:p w14:paraId="7669487C" w14:textId="77777777" w:rsidR="00580655" w:rsidRDefault="00580655" w:rsidP="004D71AE">
            <w:pPr>
              <w:pStyle w:val="TableParagraph"/>
              <w:spacing w:before="0" w:line="277" w:lineRule="exact"/>
              <w:ind w:left="107"/>
              <w:rPr>
                <w:sz w:val="24"/>
              </w:rPr>
            </w:pPr>
            <w:r>
              <w:rPr>
                <w:sz w:val="24"/>
              </w:rPr>
              <w:t>New section</w:t>
            </w:r>
          </w:p>
        </w:tc>
      </w:tr>
      <w:tr w:rsidR="00580655" w14:paraId="20CC415F" w14:textId="77777777" w:rsidTr="004D71AE">
        <w:trPr>
          <w:trHeight w:val="299"/>
        </w:trPr>
        <w:tc>
          <w:tcPr>
            <w:tcW w:w="1440" w:type="dxa"/>
          </w:tcPr>
          <w:p w14:paraId="0F9EDC16" w14:textId="77777777" w:rsidR="00580655" w:rsidRDefault="00580655" w:rsidP="004D71AE">
            <w:pPr>
              <w:pStyle w:val="TableParagraph"/>
              <w:spacing w:before="0" w:line="280" w:lineRule="exact"/>
              <w:ind w:left="107"/>
              <w:rPr>
                <w:sz w:val="24"/>
              </w:rPr>
            </w:pPr>
            <w:r>
              <w:rPr>
                <w:sz w:val="24"/>
              </w:rPr>
              <w:t>Sec. 2</w:t>
            </w:r>
          </w:p>
        </w:tc>
        <w:tc>
          <w:tcPr>
            <w:tcW w:w="2881" w:type="dxa"/>
          </w:tcPr>
          <w:p w14:paraId="5C6E0085" w14:textId="77777777" w:rsidR="00580655" w:rsidRDefault="00580655" w:rsidP="004D71AE">
            <w:pPr>
              <w:pStyle w:val="TableParagraph"/>
              <w:spacing w:before="0" w:line="280" w:lineRule="exact"/>
              <w:ind w:left="107"/>
              <w:rPr>
                <w:i/>
                <w:sz w:val="24"/>
              </w:rPr>
            </w:pPr>
            <w:r>
              <w:rPr>
                <w:i/>
                <w:sz w:val="24"/>
              </w:rPr>
              <w:t>January 1, 2020</w:t>
            </w:r>
          </w:p>
        </w:tc>
        <w:tc>
          <w:tcPr>
            <w:tcW w:w="2881" w:type="dxa"/>
          </w:tcPr>
          <w:p w14:paraId="0316E7EE" w14:textId="77777777" w:rsidR="00580655" w:rsidRDefault="00580655" w:rsidP="004D71AE">
            <w:pPr>
              <w:pStyle w:val="TableParagraph"/>
              <w:spacing w:before="0" w:line="280" w:lineRule="exact"/>
              <w:ind w:left="107"/>
              <w:rPr>
                <w:sz w:val="24"/>
              </w:rPr>
            </w:pPr>
            <w:r>
              <w:rPr>
                <w:sz w:val="24"/>
              </w:rPr>
              <w:t>New section</w:t>
            </w:r>
          </w:p>
        </w:tc>
      </w:tr>
      <w:tr w:rsidR="00580655" w14:paraId="4F706ECD" w14:textId="77777777" w:rsidTr="004D71AE">
        <w:trPr>
          <w:trHeight w:val="297"/>
        </w:trPr>
        <w:tc>
          <w:tcPr>
            <w:tcW w:w="1440" w:type="dxa"/>
          </w:tcPr>
          <w:p w14:paraId="56F49DEC" w14:textId="77777777" w:rsidR="00580655" w:rsidRDefault="00580655" w:rsidP="004D71AE">
            <w:pPr>
              <w:pStyle w:val="TableParagraph"/>
              <w:spacing w:before="0" w:line="277" w:lineRule="exact"/>
              <w:ind w:left="107"/>
              <w:rPr>
                <w:sz w:val="24"/>
              </w:rPr>
            </w:pPr>
            <w:r>
              <w:rPr>
                <w:sz w:val="24"/>
              </w:rPr>
              <w:t>Sec. 3</w:t>
            </w:r>
          </w:p>
        </w:tc>
        <w:tc>
          <w:tcPr>
            <w:tcW w:w="2881" w:type="dxa"/>
          </w:tcPr>
          <w:p w14:paraId="015B515D" w14:textId="77777777" w:rsidR="00580655" w:rsidRDefault="00580655" w:rsidP="004D71AE">
            <w:pPr>
              <w:pStyle w:val="TableParagraph"/>
              <w:spacing w:before="0" w:line="277" w:lineRule="exact"/>
              <w:ind w:left="107"/>
              <w:rPr>
                <w:i/>
                <w:sz w:val="24"/>
              </w:rPr>
            </w:pPr>
            <w:r>
              <w:rPr>
                <w:i/>
                <w:sz w:val="24"/>
              </w:rPr>
              <w:t>January 1, 2020</w:t>
            </w:r>
          </w:p>
        </w:tc>
        <w:tc>
          <w:tcPr>
            <w:tcW w:w="2881" w:type="dxa"/>
          </w:tcPr>
          <w:p w14:paraId="274CFC1B" w14:textId="77777777" w:rsidR="00580655" w:rsidRDefault="00580655" w:rsidP="004D71AE">
            <w:pPr>
              <w:pStyle w:val="TableParagraph"/>
              <w:spacing w:before="0" w:line="277" w:lineRule="exact"/>
              <w:ind w:left="107"/>
              <w:rPr>
                <w:sz w:val="24"/>
              </w:rPr>
            </w:pPr>
            <w:r>
              <w:rPr>
                <w:sz w:val="24"/>
              </w:rPr>
              <w:t>New section</w:t>
            </w:r>
          </w:p>
        </w:tc>
      </w:tr>
      <w:tr w:rsidR="00580655" w14:paraId="57D9CB61" w14:textId="77777777" w:rsidTr="004D71AE">
        <w:trPr>
          <w:trHeight w:val="299"/>
        </w:trPr>
        <w:tc>
          <w:tcPr>
            <w:tcW w:w="1440" w:type="dxa"/>
          </w:tcPr>
          <w:p w14:paraId="27578F65" w14:textId="77777777" w:rsidR="00580655" w:rsidRDefault="00580655" w:rsidP="004D71AE">
            <w:pPr>
              <w:pStyle w:val="TableParagraph"/>
              <w:spacing w:before="0" w:line="280" w:lineRule="exact"/>
              <w:ind w:left="107"/>
              <w:rPr>
                <w:sz w:val="24"/>
              </w:rPr>
            </w:pPr>
            <w:r>
              <w:rPr>
                <w:sz w:val="24"/>
              </w:rPr>
              <w:t>Sec. 4</w:t>
            </w:r>
          </w:p>
        </w:tc>
        <w:tc>
          <w:tcPr>
            <w:tcW w:w="2881" w:type="dxa"/>
          </w:tcPr>
          <w:p w14:paraId="6524DA79" w14:textId="77777777" w:rsidR="00580655" w:rsidRDefault="00580655" w:rsidP="004D71AE">
            <w:pPr>
              <w:pStyle w:val="TableParagraph"/>
              <w:spacing w:before="0" w:line="280" w:lineRule="exact"/>
              <w:ind w:left="107"/>
              <w:rPr>
                <w:i/>
                <w:sz w:val="24"/>
              </w:rPr>
            </w:pPr>
            <w:r>
              <w:rPr>
                <w:i/>
                <w:sz w:val="24"/>
              </w:rPr>
              <w:t>January 1, 2020</w:t>
            </w:r>
          </w:p>
        </w:tc>
        <w:tc>
          <w:tcPr>
            <w:tcW w:w="2881" w:type="dxa"/>
          </w:tcPr>
          <w:p w14:paraId="51DE4A6B" w14:textId="77777777" w:rsidR="00580655" w:rsidRDefault="00580655" w:rsidP="004D71AE">
            <w:pPr>
              <w:pStyle w:val="TableParagraph"/>
              <w:spacing w:before="0" w:line="280" w:lineRule="exact"/>
              <w:ind w:left="107"/>
              <w:rPr>
                <w:sz w:val="24"/>
              </w:rPr>
            </w:pPr>
            <w:r>
              <w:rPr>
                <w:sz w:val="24"/>
              </w:rPr>
              <w:t>New section</w:t>
            </w:r>
          </w:p>
        </w:tc>
      </w:tr>
    </w:tbl>
    <w:p w14:paraId="595C2047" w14:textId="77777777" w:rsidR="002546FE" w:rsidRDefault="002546FE" w:rsidP="002546FE">
      <w:pPr>
        <w:pStyle w:val="Heading1"/>
        <w:spacing w:line="267" w:lineRule="exact"/>
        <w:ind w:left="880"/>
      </w:pPr>
    </w:p>
    <w:p w14:paraId="3E4F2E0B" w14:textId="77777777" w:rsidR="002546FE" w:rsidRPr="002546FE" w:rsidRDefault="002546FE" w:rsidP="002546FE">
      <w:pPr>
        <w:pStyle w:val="Heading1"/>
        <w:spacing w:line="267" w:lineRule="exact"/>
        <w:ind w:left="880"/>
      </w:pPr>
      <w:r w:rsidRPr="002546FE">
        <w:t>Statement of Purpose:</w:t>
      </w:r>
    </w:p>
    <w:p w14:paraId="7EA62533" w14:textId="77777777" w:rsidR="002546FE" w:rsidRDefault="002546FE" w:rsidP="002546FE">
      <w:pPr>
        <w:pStyle w:val="BodyText"/>
        <w:spacing w:before="12" w:line="220" w:lineRule="auto"/>
        <w:ind w:right="438" w:firstLine="0"/>
        <w:jc w:val="both"/>
        <w:rPr>
          <w:sz w:val="22"/>
          <w:szCs w:val="22"/>
        </w:rPr>
      </w:pPr>
      <w:r w:rsidRPr="002546FE">
        <w:rPr>
          <w:sz w:val="22"/>
          <w:szCs w:val="22"/>
        </w:rPr>
        <w:t>To</w:t>
      </w:r>
      <w:r>
        <w:rPr>
          <w:sz w:val="22"/>
          <w:szCs w:val="22"/>
        </w:rPr>
        <w:t xml:space="preserve"> </w:t>
      </w:r>
      <w:r w:rsidRPr="002546FE">
        <w:rPr>
          <w:sz w:val="22"/>
          <w:szCs w:val="22"/>
        </w:rPr>
        <w:t xml:space="preserve">require that health carriers report data to the Insurance Department, and require that the </w:t>
      </w:r>
      <w:r>
        <w:rPr>
          <w:sz w:val="22"/>
          <w:szCs w:val="22"/>
        </w:rPr>
        <w:t>Insurance Commissioner implement federal and state parity provisions and</w:t>
      </w:r>
      <w:r w:rsidRPr="002546FE">
        <w:rPr>
          <w:sz w:val="22"/>
          <w:szCs w:val="22"/>
        </w:rPr>
        <w:t xml:space="preserve"> submit a report to the General Assembly</w:t>
      </w:r>
      <w:r>
        <w:rPr>
          <w:sz w:val="22"/>
          <w:szCs w:val="22"/>
        </w:rPr>
        <w:t>, to establish coverage requirements for medications to treat substance use disorders</w:t>
      </w:r>
      <w:r w:rsidRPr="002546FE">
        <w:rPr>
          <w:sz w:val="22"/>
          <w:szCs w:val="22"/>
        </w:rPr>
        <w:t>.</w:t>
      </w:r>
    </w:p>
    <w:p w14:paraId="46EE0120" w14:textId="77777777" w:rsidR="006211CB" w:rsidRDefault="006211CB" w:rsidP="002546FE">
      <w:pPr>
        <w:pStyle w:val="BodyText"/>
        <w:spacing w:before="12" w:line="220" w:lineRule="auto"/>
        <w:ind w:right="438" w:firstLine="0"/>
        <w:jc w:val="both"/>
        <w:rPr>
          <w:sz w:val="22"/>
          <w:szCs w:val="22"/>
        </w:rPr>
      </w:pPr>
    </w:p>
    <w:p w14:paraId="33ADFC2C" w14:textId="77777777" w:rsidR="006211CB" w:rsidRDefault="006211CB" w:rsidP="006211CB">
      <w:pPr>
        <w:ind w:left="880" w:right="438"/>
        <w:jc w:val="both"/>
        <w:rPr>
          <w:rFonts w:ascii="Arial"/>
          <w:b/>
          <w:i/>
          <w:sz w:val="16"/>
        </w:rPr>
      </w:pPr>
      <w:r>
        <w:rPr>
          <w:rFonts w:ascii="Arial"/>
          <w:b/>
          <w:i/>
          <w:sz w:val="16"/>
        </w:rPr>
        <w:t>[Proposed deletions are enclosed in brackets. Proposed additions are indicated by underline, except that when the entire text of a bill or resolution or a section of a bill or resolution is new, it is not underlined.]</w:t>
      </w:r>
    </w:p>
    <w:p w14:paraId="34AFEBC4" w14:textId="77777777" w:rsidR="006211CB" w:rsidRPr="002546FE" w:rsidRDefault="006211CB" w:rsidP="002546FE">
      <w:pPr>
        <w:pStyle w:val="BodyText"/>
        <w:spacing w:before="12" w:line="220" w:lineRule="auto"/>
        <w:ind w:right="438" w:firstLine="0"/>
        <w:jc w:val="both"/>
        <w:rPr>
          <w:sz w:val="22"/>
          <w:szCs w:val="22"/>
        </w:rPr>
      </w:pPr>
    </w:p>
    <w:p w14:paraId="5BF4987E" w14:textId="77777777" w:rsidR="00580655" w:rsidRPr="00B04AC9" w:rsidRDefault="00580655" w:rsidP="00580655">
      <w:pPr>
        <w:rPr>
          <w:rFonts w:ascii="Palatino Linotype" w:hAnsi="Palatino Linotype" w:cs="Arial"/>
          <w:sz w:val="22"/>
          <w:szCs w:val="22"/>
        </w:rPr>
      </w:pPr>
    </w:p>
    <w:p w14:paraId="518AEEE4" w14:textId="77777777" w:rsidR="00B04AC9" w:rsidRPr="007410D7" w:rsidRDefault="00B04AC9" w:rsidP="007410D7">
      <w:pPr>
        <w:ind w:firstLine="720"/>
        <w:rPr>
          <w:rFonts w:ascii="Palatino Linotype" w:hAnsi="Palatino Linotype" w:cs="Arial"/>
          <w:sz w:val="22"/>
          <w:szCs w:val="22"/>
        </w:rPr>
      </w:pPr>
    </w:p>
    <w:p w14:paraId="59FB87DA" w14:textId="77777777" w:rsidR="007410D7" w:rsidRPr="006A36AE" w:rsidRDefault="007410D7" w:rsidP="006A36AE">
      <w:pPr>
        <w:ind w:firstLine="720"/>
        <w:rPr>
          <w:rFonts w:ascii="Palatino Linotype" w:hAnsi="Palatino Linotype" w:cs="Arial"/>
          <w:sz w:val="22"/>
          <w:szCs w:val="22"/>
        </w:rPr>
      </w:pPr>
    </w:p>
    <w:p w14:paraId="2197AD09" w14:textId="77777777" w:rsidR="00E97EF3" w:rsidRPr="00E97EF3" w:rsidRDefault="00E97EF3" w:rsidP="00E97EF3">
      <w:pPr>
        <w:ind w:firstLine="720"/>
        <w:rPr>
          <w:rFonts w:ascii="Palatino Linotype" w:hAnsi="Palatino Linotype" w:cs="Arial"/>
          <w:sz w:val="22"/>
          <w:szCs w:val="22"/>
        </w:rPr>
      </w:pPr>
    </w:p>
    <w:p w14:paraId="52D5E8E4" w14:textId="77777777" w:rsidR="00E97EF3" w:rsidRDefault="00E97EF3">
      <w:pPr>
        <w:ind w:firstLine="720"/>
        <w:rPr>
          <w:rFonts w:ascii="Palatino Linotype" w:hAnsi="Palatino Linotype"/>
          <w:sz w:val="22"/>
          <w:szCs w:val="22"/>
        </w:rPr>
      </w:pPr>
    </w:p>
    <w:p w14:paraId="73545CA0" w14:textId="77777777" w:rsidR="00485A15" w:rsidRPr="00594845" w:rsidRDefault="00485A15" w:rsidP="0092130E">
      <w:pPr>
        <w:ind w:firstLine="720"/>
        <w:rPr>
          <w:rFonts w:ascii="Palatino Linotype" w:hAnsi="Palatino Linotype"/>
          <w:sz w:val="22"/>
          <w:szCs w:val="22"/>
          <w:u w:val="single"/>
        </w:rPr>
      </w:pPr>
    </w:p>
    <w:sectPr w:rsidR="00485A15" w:rsidRPr="00594845" w:rsidSect="00881470">
      <w:headerReference w:type="default" r:id="rId11"/>
      <w:headerReference w:type="first" r:id="rId12"/>
      <w:pgSz w:w="12240" w:h="15840"/>
      <w:pgMar w:top="1440" w:right="1800" w:bottom="1440" w:left="1800" w:header="576"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2D9F6" w15:done="0"/>
  <w15:commentEx w15:paraId="0ED6E2AD" w15:done="0"/>
  <w15:commentEx w15:paraId="374AF1B8" w15:done="0"/>
  <w15:commentEx w15:paraId="3A189140" w15:done="0"/>
  <w15:commentEx w15:paraId="555E24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AF7F8" w14:textId="77777777" w:rsidR="004D71AE" w:rsidRDefault="004D71AE">
      <w:r>
        <w:separator/>
      </w:r>
    </w:p>
  </w:endnote>
  <w:endnote w:type="continuationSeparator" w:id="0">
    <w:p w14:paraId="6A7162F3" w14:textId="77777777" w:rsidR="004D71AE" w:rsidRDefault="004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D005E" w14:textId="77777777" w:rsidR="004D71AE" w:rsidRDefault="004D71AE">
      <w:r>
        <w:separator/>
      </w:r>
    </w:p>
  </w:footnote>
  <w:footnote w:type="continuationSeparator" w:id="0">
    <w:p w14:paraId="1C23A02C" w14:textId="77777777" w:rsidR="004D71AE" w:rsidRDefault="004D71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129E" w14:textId="77777777" w:rsidR="004D71AE" w:rsidRDefault="004D71AE" w:rsidP="00B91495">
    <w:pPr>
      <w:pStyle w:val="Header"/>
      <w:tabs>
        <w:tab w:val="left" w:pos="1200"/>
      </w:tabs>
    </w:pPr>
    <w:r>
      <w:tab/>
    </w:r>
    <w:r>
      <w:tab/>
    </w:r>
    <w:r>
      <w:rPr>
        <w:noProof/>
      </w:rPr>
      <mc:AlternateContent>
        <mc:Choice Requires="wps">
          <w:drawing>
            <wp:anchor distT="0" distB="0" distL="114300" distR="114300" simplePos="0" relativeHeight="251659264" behindDoc="1" locked="0" layoutInCell="1" allowOverlap="1" wp14:anchorId="07A4C41E" wp14:editId="5704707D">
              <wp:simplePos x="0" y="0"/>
              <wp:positionH relativeFrom="page">
                <wp:posOffset>1504950</wp:posOffset>
              </wp:positionH>
              <wp:positionV relativeFrom="page">
                <wp:posOffset>675640</wp:posOffset>
              </wp:positionV>
              <wp:extent cx="4973320" cy="167005"/>
              <wp:effectExtent l="6350" t="2540" r="0" b="0"/>
              <wp:wrapThrough wrapText="bothSides">
                <wp:wrapPolygon edited="0">
                  <wp:start x="0" y="0"/>
                  <wp:lineTo x="21600" y="0"/>
                  <wp:lineTo x="21600" y="21600"/>
                  <wp:lineTo x="0" y="2160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5116"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18.5pt;margin-top:53.2pt;width:391.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42awCAACp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" filled="f" stroked="f">
              <v:textbox inset="0,0,0,0">
                <w:txbxContent>
                  <w:p w14:paraId="58D11CB2"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v:textbox>
              <w10:wrap type="through"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31A8E" w14:textId="77777777" w:rsidR="004D71AE" w:rsidRDefault="004D71AE" w:rsidP="00EE71C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FF"/>
    <w:multiLevelType w:val="hybridMultilevel"/>
    <w:tmpl w:val="D04ECDD4"/>
    <w:lvl w:ilvl="0" w:tplc="B844B940">
      <w:start w:val="1"/>
      <w:numFmt w:val="decimal"/>
      <w:lvlText w:val="%1"/>
      <w:lvlJc w:val="left"/>
      <w:pPr>
        <w:ind w:left="1168" w:hanging="768"/>
        <w:jc w:val="right"/>
      </w:pPr>
      <w:rPr>
        <w:rFonts w:ascii="Palatino Linotype" w:eastAsia="Palatino Linotype" w:hAnsi="Palatino Linotype" w:cs="Palatino Linotype" w:hint="default"/>
        <w:spacing w:val="-4"/>
        <w:w w:val="100"/>
        <w:sz w:val="24"/>
        <w:szCs w:val="24"/>
        <w:lang w:val="en-US" w:eastAsia="en-US" w:bidi="en-US"/>
      </w:rPr>
    </w:lvl>
    <w:lvl w:ilvl="1" w:tplc="58C01220">
      <w:numFmt w:val="bullet"/>
      <w:lvlText w:val="•"/>
      <w:lvlJc w:val="left"/>
      <w:pPr>
        <w:ind w:left="1932" w:hanging="768"/>
      </w:pPr>
      <w:rPr>
        <w:rFonts w:hint="default"/>
        <w:lang w:val="en-US" w:eastAsia="en-US" w:bidi="en-US"/>
      </w:rPr>
    </w:lvl>
    <w:lvl w:ilvl="2" w:tplc="DA522DA0">
      <w:numFmt w:val="bullet"/>
      <w:lvlText w:val="•"/>
      <w:lvlJc w:val="left"/>
      <w:pPr>
        <w:ind w:left="2704" w:hanging="768"/>
      </w:pPr>
      <w:rPr>
        <w:rFonts w:hint="default"/>
        <w:lang w:val="en-US" w:eastAsia="en-US" w:bidi="en-US"/>
      </w:rPr>
    </w:lvl>
    <w:lvl w:ilvl="3" w:tplc="D172A5CE">
      <w:numFmt w:val="bullet"/>
      <w:lvlText w:val="•"/>
      <w:lvlJc w:val="left"/>
      <w:pPr>
        <w:ind w:left="3476" w:hanging="768"/>
      </w:pPr>
      <w:rPr>
        <w:rFonts w:hint="default"/>
        <w:lang w:val="en-US" w:eastAsia="en-US" w:bidi="en-US"/>
      </w:rPr>
    </w:lvl>
    <w:lvl w:ilvl="4" w:tplc="69F0B53A">
      <w:numFmt w:val="bullet"/>
      <w:lvlText w:val="•"/>
      <w:lvlJc w:val="left"/>
      <w:pPr>
        <w:ind w:left="4248" w:hanging="768"/>
      </w:pPr>
      <w:rPr>
        <w:rFonts w:hint="default"/>
        <w:lang w:val="en-US" w:eastAsia="en-US" w:bidi="en-US"/>
      </w:rPr>
    </w:lvl>
    <w:lvl w:ilvl="5" w:tplc="26888378">
      <w:numFmt w:val="bullet"/>
      <w:lvlText w:val="•"/>
      <w:lvlJc w:val="left"/>
      <w:pPr>
        <w:ind w:left="5020" w:hanging="768"/>
      </w:pPr>
      <w:rPr>
        <w:rFonts w:hint="default"/>
        <w:lang w:val="en-US" w:eastAsia="en-US" w:bidi="en-US"/>
      </w:rPr>
    </w:lvl>
    <w:lvl w:ilvl="6" w:tplc="3736607A">
      <w:numFmt w:val="bullet"/>
      <w:lvlText w:val="•"/>
      <w:lvlJc w:val="left"/>
      <w:pPr>
        <w:ind w:left="5792" w:hanging="768"/>
      </w:pPr>
      <w:rPr>
        <w:rFonts w:hint="default"/>
        <w:lang w:val="en-US" w:eastAsia="en-US" w:bidi="en-US"/>
      </w:rPr>
    </w:lvl>
    <w:lvl w:ilvl="7" w:tplc="902EAD4C">
      <w:numFmt w:val="bullet"/>
      <w:lvlText w:val="•"/>
      <w:lvlJc w:val="left"/>
      <w:pPr>
        <w:ind w:left="6564" w:hanging="768"/>
      </w:pPr>
      <w:rPr>
        <w:rFonts w:hint="default"/>
        <w:lang w:val="en-US" w:eastAsia="en-US" w:bidi="en-US"/>
      </w:rPr>
    </w:lvl>
    <w:lvl w:ilvl="8" w:tplc="E602913E">
      <w:numFmt w:val="bullet"/>
      <w:lvlText w:val="•"/>
      <w:lvlJc w:val="left"/>
      <w:pPr>
        <w:ind w:left="7336" w:hanging="768"/>
      </w:pPr>
      <w:rPr>
        <w:rFonts w:hint="default"/>
        <w:lang w:val="en-US" w:eastAsia="en-US" w:bidi="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ian Fontanella">
    <w15:presenceInfo w15:providerId="AD" w15:userId="S-1-5-21-746137067-854245398-682003330-85755"/>
  </w15:person>
  <w15:person w15:author="Demian Fontanella [2]">
    <w15:presenceInfo w15:providerId="AD" w15:userId="S-1-5-21-746137067-854245398-682003330-85755"/>
  </w15:person>
  <w15:person w15:author="Demian Fontanella [3]">
    <w15:presenceInfo w15:providerId="AD" w15:userId="S-1-5-21-746137067-854245398-682003330-85755"/>
  </w15:person>
  <w15:person w15:author="Demian Fontanella [4]">
    <w15:presenceInfo w15:providerId="AD" w15:userId="S-1-5-21-746137067-854245398-682003330-85755"/>
  </w15:person>
  <w15:person w15:author="Demian Fontanella [5]">
    <w15:presenceInfo w15:providerId="AD" w15:userId="S-1-5-21-746137067-854245398-682003330-85755"/>
  </w15:person>
  <w15:person w15:author="Fontanella, Demian">
    <w15:presenceInfo w15:providerId="AD" w15:userId="S-1-5-21-746137067-854245398-682003330-8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B"/>
    <w:rsid w:val="00003519"/>
    <w:rsid w:val="000102C5"/>
    <w:rsid w:val="00017894"/>
    <w:rsid w:val="00023E1A"/>
    <w:rsid w:val="00052F14"/>
    <w:rsid w:val="00070C6B"/>
    <w:rsid w:val="000C4FB6"/>
    <w:rsid w:val="000D0E27"/>
    <w:rsid w:val="000D5D82"/>
    <w:rsid w:val="000E26B7"/>
    <w:rsid w:val="00126D59"/>
    <w:rsid w:val="001907BA"/>
    <w:rsid w:val="001A3992"/>
    <w:rsid w:val="001A5904"/>
    <w:rsid w:val="001B5933"/>
    <w:rsid w:val="001C1FC4"/>
    <w:rsid w:val="001E5111"/>
    <w:rsid w:val="001F4F24"/>
    <w:rsid w:val="00202113"/>
    <w:rsid w:val="00212A86"/>
    <w:rsid w:val="00215902"/>
    <w:rsid w:val="00240780"/>
    <w:rsid w:val="002546FE"/>
    <w:rsid w:val="0026171D"/>
    <w:rsid w:val="00285C31"/>
    <w:rsid w:val="00286EE7"/>
    <w:rsid w:val="002A58E7"/>
    <w:rsid w:val="002C12AC"/>
    <w:rsid w:val="002F599B"/>
    <w:rsid w:val="00316304"/>
    <w:rsid w:val="00330B64"/>
    <w:rsid w:val="00335223"/>
    <w:rsid w:val="00335A97"/>
    <w:rsid w:val="00337A47"/>
    <w:rsid w:val="00337FCB"/>
    <w:rsid w:val="00393D2B"/>
    <w:rsid w:val="003B5BA5"/>
    <w:rsid w:val="003F4078"/>
    <w:rsid w:val="00402090"/>
    <w:rsid w:val="00484491"/>
    <w:rsid w:val="00484F95"/>
    <w:rsid w:val="00485A15"/>
    <w:rsid w:val="004D71AE"/>
    <w:rsid w:val="00535F53"/>
    <w:rsid w:val="005429E9"/>
    <w:rsid w:val="005518C0"/>
    <w:rsid w:val="00555BD8"/>
    <w:rsid w:val="00580655"/>
    <w:rsid w:val="005879A2"/>
    <w:rsid w:val="00593E75"/>
    <w:rsid w:val="00594845"/>
    <w:rsid w:val="005E5BC9"/>
    <w:rsid w:val="005F16FA"/>
    <w:rsid w:val="005F4243"/>
    <w:rsid w:val="00605719"/>
    <w:rsid w:val="00606E8D"/>
    <w:rsid w:val="006159D7"/>
    <w:rsid w:val="006211CB"/>
    <w:rsid w:val="00653D67"/>
    <w:rsid w:val="006A36AE"/>
    <w:rsid w:val="006A6201"/>
    <w:rsid w:val="006B343A"/>
    <w:rsid w:val="006C2AB6"/>
    <w:rsid w:val="006D41EE"/>
    <w:rsid w:val="006D4D5D"/>
    <w:rsid w:val="006F5568"/>
    <w:rsid w:val="00720229"/>
    <w:rsid w:val="007410D7"/>
    <w:rsid w:val="00741C62"/>
    <w:rsid w:val="0074232A"/>
    <w:rsid w:val="0076461E"/>
    <w:rsid w:val="00765FD8"/>
    <w:rsid w:val="0078037F"/>
    <w:rsid w:val="007A30DD"/>
    <w:rsid w:val="007C4B90"/>
    <w:rsid w:val="007E6D96"/>
    <w:rsid w:val="00803112"/>
    <w:rsid w:val="00825D6A"/>
    <w:rsid w:val="0082660A"/>
    <w:rsid w:val="00833461"/>
    <w:rsid w:val="00834541"/>
    <w:rsid w:val="00854DFA"/>
    <w:rsid w:val="0087386D"/>
    <w:rsid w:val="00881470"/>
    <w:rsid w:val="008A3E86"/>
    <w:rsid w:val="008C2F3B"/>
    <w:rsid w:val="0092130E"/>
    <w:rsid w:val="009765C1"/>
    <w:rsid w:val="00977AAB"/>
    <w:rsid w:val="00981380"/>
    <w:rsid w:val="009B1429"/>
    <w:rsid w:val="009E2A3A"/>
    <w:rsid w:val="00A552ED"/>
    <w:rsid w:val="00A7135F"/>
    <w:rsid w:val="00A928B1"/>
    <w:rsid w:val="00AB410A"/>
    <w:rsid w:val="00AB5434"/>
    <w:rsid w:val="00AB5533"/>
    <w:rsid w:val="00AB685C"/>
    <w:rsid w:val="00AE6F35"/>
    <w:rsid w:val="00B01908"/>
    <w:rsid w:val="00B04AC9"/>
    <w:rsid w:val="00B91495"/>
    <w:rsid w:val="00B94FC4"/>
    <w:rsid w:val="00C22F07"/>
    <w:rsid w:val="00C30FC7"/>
    <w:rsid w:val="00C55554"/>
    <w:rsid w:val="00C64E3F"/>
    <w:rsid w:val="00C67248"/>
    <w:rsid w:val="00C777A3"/>
    <w:rsid w:val="00C8334D"/>
    <w:rsid w:val="00CB19A9"/>
    <w:rsid w:val="00CB479D"/>
    <w:rsid w:val="00CC4FE9"/>
    <w:rsid w:val="00CD031E"/>
    <w:rsid w:val="00D12BFB"/>
    <w:rsid w:val="00D90062"/>
    <w:rsid w:val="00DA6AE5"/>
    <w:rsid w:val="00DB7D49"/>
    <w:rsid w:val="00DF7667"/>
    <w:rsid w:val="00E01EAE"/>
    <w:rsid w:val="00E5581F"/>
    <w:rsid w:val="00E97EF3"/>
    <w:rsid w:val="00EA49D3"/>
    <w:rsid w:val="00ED195A"/>
    <w:rsid w:val="00ED4DEF"/>
    <w:rsid w:val="00EE71C7"/>
    <w:rsid w:val="00F233E2"/>
    <w:rsid w:val="00F607CA"/>
    <w:rsid w:val="00F60F34"/>
    <w:rsid w:val="00F67255"/>
    <w:rsid w:val="00F76841"/>
    <w:rsid w:val="00F91460"/>
    <w:rsid w:val="00FA38D1"/>
    <w:rsid w:val="00FA435A"/>
    <w:rsid w:val="00FE1DC0"/>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A8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212">
      <w:bodyDiv w:val="1"/>
      <w:marLeft w:val="0"/>
      <w:marRight w:val="0"/>
      <w:marTop w:val="0"/>
      <w:marBottom w:val="0"/>
      <w:divBdr>
        <w:top w:val="none" w:sz="0" w:space="0" w:color="auto"/>
        <w:left w:val="none" w:sz="0" w:space="0" w:color="auto"/>
        <w:bottom w:val="none" w:sz="0" w:space="0" w:color="auto"/>
        <w:right w:val="none" w:sz="0" w:space="0" w:color="auto"/>
      </w:divBdr>
    </w:div>
    <w:div w:id="326905821">
      <w:bodyDiv w:val="1"/>
      <w:marLeft w:val="0"/>
      <w:marRight w:val="0"/>
      <w:marTop w:val="0"/>
      <w:marBottom w:val="0"/>
      <w:divBdr>
        <w:top w:val="none" w:sz="0" w:space="0" w:color="auto"/>
        <w:left w:val="none" w:sz="0" w:space="0" w:color="auto"/>
        <w:bottom w:val="none" w:sz="0" w:space="0" w:color="auto"/>
        <w:right w:val="none" w:sz="0" w:space="0" w:color="auto"/>
      </w:divBdr>
    </w:div>
    <w:div w:id="351539327">
      <w:bodyDiv w:val="1"/>
      <w:marLeft w:val="0"/>
      <w:marRight w:val="0"/>
      <w:marTop w:val="0"/>
      <w:marBottom w:val="0"/>
      <w:divBdr>
        <w:top w:val="none" w:sz="0" w:space="0" w:color="auto"/>
        <w:left w:val="none" w:sz="0" w:space="0" w:color="auto"/>
        <w:bottom w:val="none" w:sz="0" w:space="0" w:color="auto"/>
        <w:right w:val="none" w:sz="0" w:space="0" w:color="auto"/>
      </w:divBdr>
    </w:div>
    <w:div w:id="512841494">
      <w:bodyDiv w:val="1"/>
      <w:marLeft w:val="0"/>
      <w:marRight w:val="0"/>
      <w:marTop w:val="0"/>
      <w:marBottom w:val="0"/>
      <w:divBdr>
        <w:top w:val="none" w:sz="0" w:space="0" w:color="auto"/>
        <w:left w:val="none" w:sz="0" w:space="0" w:color="auto"/>
        <w:bottom w:val="none" w:sz="0" w:space="0" w:color="auto"/>
        <w:right w:val="none" w:sz="0" w:space="0" w:color="auto"/>
      </w:divBdr>
    </w:div>
    <w:div w:id="609623796">
      <w:bodyDiv w:val="1"/>
      <w:marLeft w:val="0"/>
      <w:marRight w:val="0"/>
      <w:marTop w:val="0"/>
      <w:marBottom w:val="0"/>
      <w:divBdr>
        <w:top w:val="none" w:sz="0" w:space="0" w:color="auto"/>
        <w:left w:val="none" w:sz="0" w:space="0" w:color="auto"/>
        <w:bottom w:val="none" w:sz="0" w:space="0" w:color="auto"/>
        <w:right w:val="none" w:sz="0" w:space="0" w:color="auto"/>
      </w:divBdr>
    </w:div>
    <w:div w:id="754277841">
      <w:bodyDiv w:val="1"/>
      <w:marLeft w:val="0"/>
      <w:marRight w:val="0"/>
      <w:marTop w:val="0"/>
      <w:marBottom w:val="0"/>
      <w:divBdr>
        <w:top w:val="none" w:sz="0" w:space="0" w:color="auto"/>
        <w:left w:val="none" w:sz="0" w:space="0" w:color="auto"/>
        <w:bottom w:val="none" w:sz="0" w:space="0" w:color="auto"/>
        <w:right w:val="none" w:sz="0" w:space="0" w:color="auto"/>
      </w:divBdr>
    </w:div>
    <w:div w:id="946808993">
      <w:bodyDiv w:val="1"/>
      <w:marLeft w:val="0"/>
      <w:marRight w:val="0"/>
      <w:marTop w:val="0"/>
      <w:marBottom w:val="0"/>
      <w:divBdr>
        <w:top w:val="none" w:sz="0" w:space="0" w:color="auto"/>
        <w:left w:val="none" w:sz="0" w:space="0" w:color="auto"/>
        <w:bottom w:val="none" w:sz="0" w:space="0" w:color="auto"/>
        <w:right w:val="none" w:sz="0" w:space="0" w:color="auto"/>
      </w:divBdr>
    </w:div>
    <w:div w:id="1420567203">
      <w:bodyDiv w:val="1"/>
      <w:marLeft w:val="0"/>
      <w:marRight w:val="0"/>
      <w:marTop w:val="0"/>
      <w:marBottom w:val="0"/>
      <w:divBdr>
        <w:top w:val="none" w:sz="0" w:space="0" w:color="auto"/>
        <w:left w:val="none" w:sz="0" w:space="0" w:color="auto"/>
        <w:bottom w:val="none" w:sz="0" w:space="0" w:color="auto"/>
        <w:right w:val="none" w:sz="0" w:space="0" w:color="auto"/>
      </w:divBdr>
    </w:div>
    <w:div w:id="1496609868">
      <w:bodyDiv w:val="1"/>
      <w:marLeft w:val="0"/>
      <w:marRight w:val="0"/>
      <w:marTop w:val="0"/>
      <w:marBottom w:val="0"/>
      <w:divBdr>
        <w:top w:val="none" w:sz="0" w:space="0" w:color="auto"/>
        <w:left w:val="none" w:sz="0" w:space="0" w:color="auto"/>
        <w:bottom w:val="none" w:sz="0" w:space="0" w:color="auto"/>
        <w:right w:val="none" w:sz="0" w:space="0" w:color="auto"/>
      </w:divBdr>
    </w:div>
    <w:div w:id="1526167663">
      <w:bodyDiv w:val="1"/>
      <w:marLeft w:val="0"/>
      <w:marRight w:val="0"/>
      <w:marTop w:val="0"/>
      <w:marBottom w:val="0"/>
      <w:divBdr>
        <w:top w:val="none" w:sz="0" w:space="0" w:color="auto"/>
        <w:left w:val="none" w:sz="0" w:space="0" w:color="auto"/>
        <w:bottom w:val="none" w:sz="0" w:space="0" w:color="auto"/>
        <w:right w:val="none" w:sz="0" w:space="0" w:color="auto"/>
      </w:divBdr>
    </w:div>
    <w:div w:id="186994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C174FD-15A3-504E-A34E-46056DE6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1459</Words>
  <Characters>8204</Characters>
  <Application>Microsoft Macintosh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37</cp:revision>
  <cp:lastPrinted>2016-06-22T16:32:00Z</cp:lastPrinted>
  <dcterms:created xsi:type="dcterms:W3CDTF">2018-09-01T14:53:00Z</dcterms:created>
  <dcterms:modified xsi:type="dcterms:W3CDTF">2018-09-01T15:41:00Z</dcterms:modified>
</cp:coreProperties>
</file>