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78921" w14:textId="77777777" w:rsidR="00881470" w:rsidRDefault="00881470">
      <w:pPr>
        <w:rPr>
          <w:rFonts w:ascii="Arial" w:hAnsi="Arial" w:cs="Arial"/>
          <w:b/>
          <w:i/>
          <w:sz w:val="18"/>
          <w:szCs w:val="18"/>
        </w:rPr>
      </w:pPr>
    </w:p>
    <w:p w14:paraId="4054B6E4" w14:textId="77777777" w:rsidR="00881470" w:rsidRDefault="00881470">
      <w:pPr>
        <w:rPr>
          <w:rFonts w:ascii="Arial" w:hAnsi="Arial" w:cs="Arial"/>
          <w:b/>
          <w:i/>
          <w:sz w:val="18"/>
          <w:szCs w:val="18"/>
        </w:rPr>
      </w:pPr>
    </w:p>
    <w:p w14:paraId="0CF92511" w14:textId="77777777" w:rsidR="00881470" w:rsidRDefault="00881470">
      <w:pPr>
        <w:rPr>
          <w:rFonts w:ascii="Arial" w:hAnsi="Arial" w:cs="Arial"/>
          <w:b/>
          <w:i/>
          <w:sz w:val="18"/>
          <w:szCs w:val="18"/>
        </w:rPr>
      </w:pPr>
    </w:p>
    <w:p w14:paraId="4D0FC7A7" w14:textId="1646809C" w:rsidR="00881470" w:rsidRDefault="00881470">
      <w:pPr>
        <w:rPr>
          <w:rFonts w:ascii="Arial" w:hAnsi="Arial" w:cs="Arial"/>
          <w:b/>
          <w:i/>
          <w:sz w:val="18"/>
          <w:szCs w:val="18"/>
        </w:rPr>
      </w:pPr>
      <w:r>
        <w:rPr>
          <w:noProof/>
        </w:rPr>
        <w:drawing>
          <wp:anchor distT="0" distB="0" distL="114300" distR="114300" simplePos="0" relativeHeight="251661312" behindDoc="0" locked="0" layoutInCell="1" allowOverlap="1" wp14:anchorId="3F48DC96" wp14:editId="29C08CA8">
            <wp:simplePos x="0" y="0"/>
            <wp:positionH relativeFrom="column">
              <wp:posOffset>-114300</wp:posOffset>
            </wp:positionH>
            <wp:positionV relativeFrom="paragraph">
              <wp:posOffset>1905</wp:posOffset>
            </wp:positionV>
            <wp:extent cx="1489710" cy="1382395"/>
            <wp:effectExtent l="0" t="0" r="8890" b="0"/>
            <wp:wrapTight wrapText="bothSides">
              <wp:wrapPolygon edited="0">
                <wp:start x="0" y="0"/>
                <wp:lineTo x="0" y="21034"/>
                <wp:lineTo x="21361" y="21034"/>
                <wp:lineTo x="2136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 State Seal.gif"/>
                    <pic:cNvPicPr/>
                  </pic:nvPicPr>
                  <pic:blipFill>
                    <a:blip r:embed="rId9">
                      <a:extLst>
                        <a:ext uri="{28A0092B-C50C-407E-A947-70E740481C1C}">
                          <a14:useLocalDpi xmlns:a14="http://schemas.microsoft.com/office/drawing/2010/main" val="0"/>
                        </a:ext>
                      </a:extLst>
                    </a:blip>
                    <a:stretch>
                      <a:fillRect/>
                    </a:stretch>
                  </pic:blipFill>
                  <pic:spPr>
                    <a:xfrm>
                      <a:off x="0" y="0"/>
                      <a:ext cx="1489710" cy="1382395"/>
                    </a:xfrm>
                    <a:prstGeom prst="rect">
                      <a:avLst/>
                    </a:prstGeom>
                  </pic:spPr>
                </pic:pic>
              </a:graphicData>
            </a:graphic>
            <wp14:sizeRelH relativeFrom="page">
              <wp14:pctWidth>0</wp14:pctWidth>
            </wp14:sizeRelH>
            <wp14:sizeRelV relativeFrom="page">
              <wp14:pctHeight>0</wp14:pctHeight>
            </wp14:sizeRelV>
          </wp:anchor>
        </w:drawing>
      </w:r>
    </w:p>
    <w:p w14:paraId="716B40A2" w14:textId="77777777" w:rsidR="00881470" w:rsidRDefault="00881470">
      <w:pPr>
        <w:rPr>
          <w:rFonts w:ascii="Arial" w:hAnsi="Arial" w:cs="Arial"/>
          <w:b/>
          <w:i/>
          <w:sz w:val="18"/>
          <w:szCs w:val="18"/>
        </w:rPr>
      </w:pPr>
    </w:p>
    <w:p w14:paraId="3A9B876E" w14:textId="5AE0D468" w:rsidR="00881470" w:rsidRDefault="00881470">
      <w:pPr>
        <w:rPr>
          <w:rFonts w:ascii="Arial" w:hAnsi="Arial" w:cs="Arial"/>
          <w:b/>
          <w:i/>
          <w:sz w:val="18"/>
          <w:szCs w:val="18"/>
        </w:rPr>
      </w:pPr>
    </w:p>
    <w:p w14:paraId="7BA7551C" w14:textId="77777777" w:rsidR="00881470" w:rsidRDefault="00881470">
      <w:pPr>
        <w:rPr>
          <w:rFonts w:ascii="Arial" w:hAnsi="Arial" w:cs="Arial"/>
          <w:b/>
          <w:i/>
          <w:sz w:val="18"/>
          <w:szCs w:val="18"/>
        </w:rPr>
      </w:pPr>
    </w:p>
    <w:p w14:paraId="5D78FE51" w14:textId="77777777" w:rsidR="00881470" w:rsidRDefault="00881470">
      <w:pPr>
        <w:rPr>
          <w:rFonts w:ascii="Arial" w:hAnsi="Arial" w:cs="Arial"/>
          <w:b/>
          <w:i/>
          <w:sz w:val="18"/>
          <w:szCs w:val="18"/>
        </w:rPr>
      </w:pPr>
    </w:p>
    <w:p w14:paraId="05C1600B" w14:textId="77777777" w:rsidR="00881470" w:rsidRDefault="00881470">
      <w:pPr>
        <w:rPr>
          <w:rFonts w:ascii="Arial" w:hAnsi="Arial" w:cs="Arial"/>
          <w:b/>
          <w:i/>
          <w:sz w:val="18"/>
          <w:szCs w:val="18"/>
        </w:rPr>
      </w:pPr>
    </w:p>
    <w:p w14:paraId="668E27B6" w14:textId="77777777" w:rsidR="00881470" w:rsidRDefault="00881470">
      <w:pPr>
        <w:rPr>
          <w:rFonts w:ascii="Arial" w:hAnsi="Arial" w:cs="Arial"/>
          <w:b/>
          <w:i/>
          <w:sz w:val="18"/>
          <w:szCs w:val="18"/>
        </w:rPr>
      </w:pPr>
    </w:p>
    <w:p w14:paraId="76966747" w14:textId="77777777" w:rsidR="00881470" w:rsidRDefault="00881470">
      <w:pPr>
        <w:rPr>
          <w:rFonts w:ascii="Arial" w:hAnsi="Arial" w:cs="Arial"/>
          <w:b/>
          <w:i/>
          <w:sz w:val="18"/>
          <w:szCs w:val="18"/>
        </w:rPr>
      </w:pPr>
    </w:p>
    <w:p w14:paraId="0304F9CB" w14:textId="77777777" w:rsidR="00881470" w:rsidRDefault="00881470">
      <w:pPr>
        <w:rPr>
          <w:rFonts w:ascii="Arial" w:hAnsi="Arial" w:cs="Arial"/>
          <w:b/>
          <w:i/>
          <w:sz w:val="18"/>
          <w:szCs w:val="18"/>
        </w:rPr>
      </w:pPr>
    </w:p>
    <w:p w14:paraId="08AEE072" w14:textId="605CABDB" w:rsidR="00881470" w:rsidRDefault="00881470" w:rsidP="003F4078">
      <w:pPr>
        <w:pStyle w:val="Header"/>
        <w:jc w:val="center"/>
      </w:pPr>
    </w:p>
    <w:p w14:paraId="70EFA2E8" w14:textId="0DE145FC" w:rsidR="00881470" w:rsidRDefault="00881470" w:rsidP="00881470">
      <w:pPr>
        <w:tabs>
          <w:tab w:val="left" w:pos="1584"/>
        </w:tabs>
        <w:rPr>
          <w:rFonts w:ascii="Arial" w:hAnsi="Arial" w:cs="Arial"/>
          <w:b/>
          <w:i/>
          <w:sz w:val="18"/>
          <w:szCs w:val="18"/>
        </w:rPr>
      </w:pPr>
    </w:p>
    <w:p w14:paraId="687BF0DA" w14:textId="75D3C657" w:rsidR="003F4078" w:rsidRPr="003F4078" w:rsidRDefault="003F4078">
      <w:pPr>
        <w:rPr>
          <w:rFonts w:ascii="Arial" w:hAnsi="Arial" w:cs="Arial"/>
          <w:b/>
          <w:i/>
        </w:rPr>
      </w:pPr>
      <w:proofErr w:type="gramStart"/>
      <w:r w:rsidRPr="003F4078">
        <w:rPr>
          <w:rFonts w:ascii="Palatino Linotype" w:hAnsi="Palatino Linotype"/>
          <w:sz w:val="28"/>
        </w:rPr>
        <w:t>General Assembly</w:t>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Arial" w:hAnsi="Arial" w:cs="Arial"/>
          <w:b/>
          <w:i/>
        </w:rPr>
        <w:t>Raised Bill No.</w:t>
      </w:r>
      <w:proofErr w:type="gramEnd"/>
      <w:r>
        <w:rPr>
          <w:rFonts w:ascii="Arial" w:hAnsi="Arial" w:cs="Arial"/>
          <w:b/>
          <w:i/>
        </w:rPr>
        <w:t xml:space="preserve"> XXX</w:t>
      </w:r>
    </w:p>
    <w:p w14:paraId="2D365D8E" w14:textId="2F6F40D1" w:rsidR="00485A15" w:rsidRPr="00EE71C7" w:rsidRDefault="003F4078">
      <w:pPr>
        <w:rPr>
          <w:rFonts w:ascii="Arial" w:hAnsi="Arial" w:cs="Arial"/>
          <w:b/>
          <w:i/>
          <w:sz w:val="18"/>
          <w:szCs w:val="18"/>
        </w:rPr>
      </w:pPr>
      <w:r>
        <w:rPr>
          <w:rFonts w:ascii="Arial" w:hAnsi="Arial" w:cs="Arial"/>
          <w:b/>
          <w:i/>
          <w:noProof/>
          <w:sz w:val="18"/>
          <w:szCs w:val="18"/>
        </w:rPr>
        <mc:AlternateContent>
          <mc:Choice Requires="wps">
            <w:drawing>
              <wp:anchor distT="0" distB="0" distL="114300" distR="114300" simplePos="0" relativeHeight="251663360" behindDoc="0" locked="0" layoutInCell="1" allowOverlap="1" wp14:anchorId="5A165C41" wp14:editId="7D68628F">
                <wp:simplePos x="0" y="0"/>
                <wp:positionH relativeFrom="column">
                  <wp:posOffset>0</wp:posOffset>
                </wp:positionH>
                <wp:positionV relativeFrom="paragraph">
                  <wp:posOffset>44450</wp:posOffset>
                </wp:positionV>
                <wp:extent cx="50292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a:off x="0" y="0"/>
                          <a:ext cx="50292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5pt" to="396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" strokeweight=".5pt">
                <v:shadow on="t" opacity="24903f" mv:blur="40000f" origin=",.5" offset="0,20000emu"/>
              </v:line>
            </w:pict>
          </mc:Fallback>
        </mc:AlternateContent>
      </w:r>
      <w:proofErr w:type="gramStart"/>
      <w:r w:rsidR="00EE71C7">
        <w:rPr>
          <w:rFonts w:ascii="Arial" w:hAnsi="Arial" w:cs="Arial"/>
          <w:b/>
          <w:i/>
          <w:sz w:val="18"/>
          <w:szCs w:val="18"/>
        </w:rPr>
        <w:t>February Session, 2019</w:t>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sidRPr="00DA6AE5">
        <w:rPr>
          <w:rFonts w:ascii="Arial" w:hAnsi="Arial" w:cs="Arial"/>
          <w:i/>
        </w:rPr>
        <w:t>LCO No</w:t>
      </w:r>
      <w:r w:rsidR="00594845" w:rsidRPr="00DA6AE5">
        <w:rPr>
          <w:rFonts w:ascii="Arial" w:hAnsi="Arial" w:cs="Arial"/>
          <w:b/>
          <w:i/>
        </w:rPr>
        <w:t>.</w:t>
      </w:r>
      <w:proofErr w:type="gramEnd"/>
      <w:r w:rsidR="00594845" w:rsidRPr="00DA6AE5">
        <w:rPr>
          <w:rFonts w:ascii="Arial" w:hAnsi="Arial" w:cs="Arial"/>
          <w:b/>
          <w:i/>
        </w:rPr>
        <w:t xml:space="preserve"> XXXX</w:t>
      </w:r>
    </w:p>
    <w:p w14:paraId="468A4A42" w14:textId="542C699D" w:rsidR="00594845" w:rsidRDefault="004D71AE">
      <w:pPr>
        <w:rPr>
          <w:rFonts w:ascii="Arial" w:hAnsi="Arial" w:cs="Arial"/>
        </w:rPr>
      </w:pPr>
      <w:r>
        <w:rPr>
          <w:rFonts w:ascii="Times New Roman"/>
          <w:noProof/>
          <w:sz w:val="20"/>
        </w:rPr>
        <w:drawing>
          <wp:anchor distT="0" distB="0" distL="114300" distR="114300" simplePos="0" relativeHeight="251662336" behindDoc="0" locked="0" layoutInCell="1" allowOverlap="1" wp14:anchorId="54D5F4AA" wp14:editId="46DC9D8D">
            <wp:simplePos x="0" y="0"/>
            <wp:positionH relativeFrom="column">
              <wp:posOffset>3657600</wp:posOffset>
            </wp:positionH>
            <wp:positionV relativeFrom="paragraph">
              <wp:posOffset>139065</wp:posOffset>
            </wp:positionV>
            <wp:extent cx="1463675" cy="249555"/>
            <wp:effectExtent l="0" t="0" r="0" b="4445"/>
            <wp:wrapTight wrapText="bothSides">
              <wp:wrapPolygon edited="0">
                <wp:start x="0" y="0"/>
                <wp:lineTo x="0" y="19786"/>
                <wp:lineTo x="20616" y="19786"/>
                <wp:lineTo x="20991"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675" cy="249555"/>
                    </a:xfrm>
                    <a:prstGeom prst="rect">
                      <a:avLst/>
                    </a:prstGeom>
                  </pic:spPr>
                </pic:pic>
              </a:graphicData>
            </a:graphic>
            <wp14:sizeRelH relativeFrom="page">
              <wp14:pctWidth>0</wp14:pctWidth>
            </wp14:sizeRelH>
            <wp14:sizeRelV relativeFrom="page">
              <wp14:pctHeight>0</wp14:pctHeight>
            </wp14:sizeRelV>
          </wp:anchor>
        </w:drawing>
      </w:r>
    </w:p>
    <w:p w14:paraId="2A914445" w14:textId="59F9833C" w:rsidR="004D71AE" w:rsidRDefault="004D71AE">
      <w:pPr>
        <w:rPr>
          <w:rFonts w:ascii="Arial" w:hAnsi="Arial" w:cs="Arial"/>
        </w:rPr>
      </w:pPr>
    </w:p>
    <w:p w14:paraId="21F4E50F" w14:textId="77777777" w:rsidR="004D71AE" w:rsidRDefault="004D71AE">
      <w:pPr>
        <w:rPr>
          <w:rFonts w:ascii="Arial" w:hAnsi="Arial" w:cs="Arial"/>
        </w:rPr>
      </w:pPr>
    </w:p>
    <w:p w14:paraId="19AFDBBE" w14:textId="2A20C74B" w:rsidR="00485A15" w:rsidRDefault="00594845">
      <w:pPr>
        <w:rPr>
          <w:rFonts w:ascii="Palatino Linotype" w:hAnsi="Palatino Linotype" w:cs="Arial"/>
          <w:sz w:val="22"/>
          <w:szCs w:val="22"/>
        </w:rPr>
      </w:pPr>
      <w:r w:rsidRPr="00594845">
        <w:rPr>
          <w:rFonts w:ascii="Palatino Linotype" w:hAnsi="Palatino Linotype" w:cs="Arial"/>
          <w:sz w:val="22"/>
          <w:szCs w:val="22"/>
        </w:rPr>
        <w:t>Referred to Committee on INSURANCE AND REAL ESTATE</w:t>
      </w:r>
    </w:p>
    <w:p w14:paraId="03D844EC" w14:textId="1AD8B58D" w:rsidR="00594845" w:rsidRDefault="00594845">
      <w:pPr>
        <w:rPr>
          <w:rFonts w:ascii="Palatino Linotype" w:hAnsi="Palatino Linotype" w:cs="Arial"/>
          <w:sz w:val="22"/>
          <w:szCs w:val="22"/>
        </w:rPr>
      </w:pPr>
      <w:r>
        <w:rPr>
          <w:rFonts w:ascii="Palatino Linotype" w:hAnsi="Palatino Linotype" w:cs="Arial"/>
          <w:sz w:val="22"/>
          <w:szCs w:val="22"/>
        </w:rPr>
        <w:t xml:space="preserve">Introduced by: </w:t>
      </w:r>
    </w:p>
    <w:p w14:paraId="06B9B552" w14:textId="6C574A3C" w:rsidR="00594845" w:rsidRPr="00594845" w:rsidRDefault="00594845" w:rsidP="00594845">
      <w:pPr>
        <w:rPr>
          <w:rFonts w:ascii="Palatino Linotype" w:hAnsi="Palatino Linotype" w:cs="Arial"/>
          <w:sz w:val="22"/>
          <w:szCs w:val="22"/>
        </w:rPr>
      </w:pPr>
      <w:r>
        <w:rPr>
          <w:rFonts w:ascii="Palatino Linotype" w:hAnsi="Palatino Linotype" w:cs="Arial"/>
          <w:sz w:val="22"/>
          <w:szCs w:val="22"/>
        </w:rPr>
        <w:t xml:space="preserve">   (INS)</w:t>
      </w:r>
    </w:p>
    <w:p w14:paraId="6BC7D7E8" w14:textId="77777777" w:rsidR="00594845" w:rsidRDefault="00594845" w:rsidP="006A6201">
      <w:pPr>
        <w:rPr>
          <w:rFonts w:ascii="Palatino Linotype" w:hAnsi="Palatino Linotype"/>
          <w:b/>
          <w:i/>
          <w:sz w:val="22"/>
          <w:szCs w:val="22"/>
        </w:rPr>
      </w:pPr>
    </w:p>
    <w:p w14:paraId="6CB2BFB6" w14:textId="77777777" w:rsidR="00594845" w:rsidRDefault="00594845" w:rsidP="006A6201">
      <w:pPr>
        <w:rPr>
          <w:rFonts w:ascii="Palatino Linotype" w:hAnsi="Palatino Linotype"/>
          <w:b/>
          <w:i/>
          <w:sz w:val="22"/>
          <w:szCs w:val="22"/>
        </w:rPr>
      </w:pPr>
    </w:p>
    <w:p w14:paraId="7B7002E2" w14:textId="422C0F8A" w:rsidR="00485A15" w:rsidRPr="00594845" w:rsidRDefault="00017894" w:rsidP="006A6201">
      <w:pPr>
        <w:rPr>
          <w:rFonts w:ascii="Palatino Linotype" w:hAnsi="Palatino Linotype"/>
          <w:b/>
          <w:i/>
          <w:sz w:val="22"/>
          <w:szCs w:val="22"/>
        </w:rPr>
      </w:pPr>
      <w:r w:rsidRPr="00594845">
        <w:rPr>
          <w:rFonts w:ascii="Palatino Linotype" w:hAnsi="Palatino Linotype"/>
          <w:b/>
          <w:i/>
          <w:sz w:val="22"/>
          <w:szCs w:val="22"/>
        </w:rPr>
        <w:t xml:space="preserve">AN ACT </w:t>
      </w:r>
      <w:r w:rsidR="006A6201" w:rsidRPr="00594845">
        <w:rPr>
          <w:rFonts w:ascii="Palatino Linotype" w:hAnsi="Palatino Linotype"/>
          <w:b/>
          <w:i/>
          <w:sz w:val="22"/>
          <w:szCs w:val="22"/>
        </w:rPr>
        <w:t xml:space="preserve">ESTABLISHING </w:t>
      </w:r>
      <w:r w:rsidR="00594845">
        <w:rPr>
          <w:rFonts w:ascii="Palatino Linotype" w:hAnsi="Palatino Linotype"/>
          <w:b/>
          <w:i/>
          <w:sz w:val="22"/>
          <w:szCs w:val="22"/>
        </w:rPr>
        <w:t>MENTAL HEALTH AND ADDICTION PARITY REPORTING AND IMPLEMENTATION REQUIREMENTS</w:t>
      </w:r>
      <w:r w:rsidRPr="00594845">
        <w:rPr>
          <w:rFonts w:ascii="Palatino Linotype" w:hAnsi="Palatino Linotype"/>
          <w:b/>
          <w:i/>
          <w:sz w:val="22"/>
          <w:szCs w:val="22"/>
        </w:rPr>
        <w:t>.</w:t>
      </w:r>
    </w:p>
    <w:p w14:paraId="132B8FFD" w14:textId="77777777" w:rsidR="00485A15" w:rsidRPr="00594845" w:rsidRDefault="00485A15">
      <w:pPr>
        <w:rPr>
          <w:rFonts w:ascii="Palatino Linotype" w:hAnsi="Palatino Linotype"/>
          <w:sz w:val="22"/>
          <w:szCs w:val="22"/>
        </w:rPr>
      </w:pPr>
    </w:p>
    <w:p w14:paraId="093FA85E"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Be it enacted by the Senate and House of Representatives in General</w:t>
      </w:r>
    </w:p>
    <w:p w14:paraId="6A2ACE40"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Assembly convened:</w:t>
      </w:r>
    </w:p>
    <w:p w14:paraId="07375E9F" w14:textId="77777777" w:rsidR="00485A15" w:rsidRPr="00594845" w:rsidRDefault="00485A15">
      <w:pPr>
        <w:rPr>
          <w:rFonts w:ascii="Palatino Linotype" w:hAnsi="Palatino Linotype"/>
          <w:sz w:val="22"/>
          <w:szCs w:val="22"/>
        </w:rPr>
      </w:pPr>
    </w:p>
    <w:p w14:paraId="20521896" w14:textId="44AE507B" w:rsidR="00E97EF3" w:rsidRDefault="00E97EF3" w:rsidP="00E97EF3">
      <w:pPr>
        <w:ind w:firstLine="720"/>
        <w:rPr>
          <w:rFonts w:ascii="Palatino Linotype" w:hAnsi="Palatino Linotype"/>
          <w:sz w:val="22"/>
          <w:szCs w:val="22"/>
        </w:rPr>
      </w:pPr>
      <w:r>
        <w:rPr>
          <w:rFonts w:ascii="Palatino Linotype" w:hAnsi="Palatino Linotype"/>
          <w:sz w:val="22"/>
          <w:szCs w:val="22"/>
        </w:rPr>
        <w:t>Section 1. (NEW) (</w:t>
      </w:r>
      <w:r w:rsidRPr="00E97EF3">
        <w:rPr>
          <w:rFonts w:ascii="Palatino Linotype" w:hAnsi="Palatino Linotype"/>
          <w:i/>
          <w:sz w:val="22"/>
          <w:szCs w:val="22"/>
        </w:rPr>
        <w:t>Effective January 1, 2020</w:t>
      </w:r>
      <w:r>
        <w:rPr>
          <w:rFonts w:ascii="Palatino Linotype" w:hAnsi="Palatino Linotype"/>
          <w:sz w:val="22"/>
          <w:szCs w:val="22"/>
        </w:rPr>
        <w:t>) For the purpo</w:t>
      </w:r>
      <w:r w:rsidR="00D352F5">
        <w:rPr>
          <w:rFonts w:ascii="Palatino Linotype" w:hAnsi="Palatino Linotype"/>
          <w:sz w:val="22"/>
          <w:szCs w:val="22"/>
        </w:rPr>
        <w:t>ses of this section and section 2</w:t>
      </w:r>
      <w:r>
        <w:rPr>
          <w:rFonts w:ascii="Palatino Linotype" w:hAnsi="Palatino Linotype"/>
          <w:sz w:val="22"/>
          <w:szCs w:val="22"/>
        </w:rPr>
        <w:t>, of this act:</w:t>
      </w:r>
    </w:p>
    <w:p w14:paraId="5D9EBEA2" w14:textId="088603DE" w:rsidR="00E97EF3" w:rsidRDefault="00E97EF3" w:rsidP="00E97EF3">
      <w:pPr>
        <w:ind w:firstLine="720"/>
        <w:rPr>
          <w:rFonts w:ascii="Palatino Linotype" w:hAnsi="Palatino Linotype" w:cs="Arial"/>
          <w:sz w:val="22"/>
          <w:szCs w:val="22"/>
        </w:rPr>
      </w:pPr>
      <w:r w:rsidRPr="00E97EF3">
        <w:rPr>
          <w:rFonts w:ascii="Palatino Linotype" w:hAnsi="Palatino Linotype" w:cs="Arial"/>
          <w:sz w:val="22"/>
          <w:szCs w:val="22"/>
        </w:rPr>
        <w:t>(1) "Commissioner" means the Insurance</w:t>
      </w:r>
      <w:r w:rsidRPr="00E97EF3">
        <w:rPr>
          <w:rFonts w:ascii="Palatino Linotype" w:hAnsi="Palatino Linotype" w:cs="Arial"/>
          <w:spacing w:val="-7"/>
          <w:sz w:val="22"/>
          <w:szCs w:val="22"/>
        </w:rPr>
        <w:t xml:space="preserve"> </w:t>
      </w:r>
      <w:r w:rsidRPr="00E97EF3">
        <w:rPr>
          <w:rFonts w:ascii="Palatino Linotype" w:hAnsi="Palatino Linotype" w:cs="Arial"/>
          <w:sz w:val="22"/>
          <w:szCs w:val="22"/>
        </w:rPr>
        <w:t>Commissioner.</w:t>
      </w:r>
    </w:p>
    <w:p w14:paraId="249DD292" w14:textId="50AF05C5" w:rsidR="006A36AE" w:rsidRDefault="006A36AE" w:rsidP="006A36AE">
      <w:pPr>
        <w:ind w:firstLine="720"/>
        <w:rPr>
          <w:rFonts w:ascii="Palatino Linotype" w:hAnsi="Palatino Linotype" w:cs="Arial"/>
          <w:sz w:val="22"/>
          <w:szCs w:val="22"/>
        </w:rPr>
      </w:pPr>
      <w:r>
        <w:rPr>
          <w:rFonts w:ascii="Palatino Linotype" w:hAnsi="Palatino Linotype" w:cs="Arial"/>
          <w:sz w:val="22"/>
          <w:szCs w:val="22"/>
        </w:rPr>
        <w:t>(2) “</w:t>
      </w:r>
      <w:r w:rsidRPr="006A36AE">
        <w:rPr>
          <w:rFonts w:ascii="Palatino Linotype" w:hAnsi="Palatino Linotype" w:cs="Arial"/>
          <w:sz w:val="22"/>
          <w:szCs w:val="22"/>
        </w:rPr>
        <w:t>Health carrier" or "carrier" means an insurer, fraternal benefit</w:t>
      </w:r>
      <w:r>
        <w:rPr>
          <w:rFonts w:ascii="Palatino Linotype" w:hAnsi="Palatino Linotype" w:cs="Arial"/>
          <w:sz w:val="22"/>
          <w:szCs w:val="22"/>
        </w:rPr>
        <w:t xml:space="preserve"> </w:t>
      </w:r>
      <w:r w:rsidRPr="006A36AE">
        <w:rPr>
          <w:rFonts w:ascii="Palatino Linotype" w:hAnsi="Palatino Linotype" w:cs="Arial"/>
          <w:sz w:val="22"/>
          <w:szCs w:val="22"/>
        </w:rPr>
        <w:t>society, health care center, hospital service corporation, managed care</w:t>
      </w:r>
      <w:r>
        <w:rPr>
          <w:rFonts w:ascii="Palatino Linotype" w:hAnsi="Palatino Linotype" w:cs="Arial"/>
          <w:sz w:val="22"/>
          <w:szCs w:val="22"/>
        </w:rPr>
        <w:t xml:space="preserve"> </w:t>
      </w:r>
      <w:r w:rsidRPr="006A36AE">
        <w:rPr>
          <w:rFonts w:ascii="Palatino Linotype" w:hAnsi="Palatino Linotype" w:cs="Arial"/>
          <w:sz w:val="22"/>
          <w:szCs w:val="22"/>
        </w:rPr>
        <w:t>organization, medical service corporation or other entity that delivers,</w:t>
      </w:r>
      <w:r>
        <w:rPr>
          <w:rFonts w:ascii="Palatino Linotype" w:hAnsi="Palatino Linotype" w:cs="Arial"/>
          <w:sz w:val="22"/>
          <w:szCs w:val="22"/>
        </w:rPr>
        <w:t xml:space="preserve"> </w:t>
      </w:r>
      <w:r w:rsidR="00CD031E">
        <w:rPr>
          <w:rFonts w:ascii="Palatino Linotype" w:hAnsi="Palatino Linotype" w:cs="Arial"/>
          <w:sz w:val="22"/>
          <w:szCs w:val="22"/>
        </w:rPr>
        <w:t>issues f</w:t>
      </w:r>
      <w:r w:rsidR="00833461">
        <w:rPr>
          <w:rFonts w:ascii="Palatino Linotype" w:hAnsi="Palatino Linotype" w:cs="Arial"/>
          <w:sz w:val="22"/>
          <w:szCs w:val="22"/>
        </w:rPr>
        <w:t xml:space="preserve">or delivery, renews, amends or </w:t>
      </w:r>
      <w:r w:rsidR="00CD031E">
        <w:rPr>
          <w:rFonts w:ascii="Palatino Linotype" w:hAnsi="Palatino Linotype" w:cs="Arial"/>
          <w:sz w:val="22"/>
          <w:szCs w:val="22"/>
        </w:rPr>
        <w:t xml:space="preserve">continues in this state </w:t>
      </w:r>
      <w:r w:rsidRPr="006A36AE">
        <w:rPr>
          <w:rFonts w:ascii="Palatino Linotype" w:hAnsi="Palatino Linotype" w:cs="Arial"/>
          <w:sz w:val="22"/>
          <w:szCs w:val="22"/>
        </w:rPr>
        <w:t>any</w:t>
      </w:r>
      <w:r w:rsidR="00CD031E">
        <w:rPr>
          <w:rFonts w:ascii="Palatino Linotype" w:hAnsi="Palatino Linotype" w:cs="Arial"/>
          <w:sz w:val="22"/>
          <w:szCs w:val="22"/>
        </w:rPr>
        <w:t xml:space="preserve"> </w:t>
      </w:r>
      <w:r w:rsidRPr="006A36AE">
        <w:rPr>
          <w:rFonts w:ascii="Palatino Linotype" w:hAnsi="Palatino Linotype" w:cs="Arial"/>
          <w:sz w:val="22"/>
          <w:szCs w:val="22"/>
        </w:rPr>
        <w:t>individual or group health insurance policy.</w:t>
      </w:r>
    </w:p>
    <w:p w14:paraId="20D3FC18" w14:textId="73CE9661" w:rsidR="00720229" w:rsidRDefault="00720229" w:rsidP="006A36AE">
      <w:pPr>
        <w:ind w:firstLine="720"/>
        <w:rPr>
          <w:rFonts w:ascii="Palatino Linotype" w:hAnsi="Palatino Linotype" w:cs="Arial"/>
          <w:sz w:val="22"/>
          <w:szCs w:val="22"/>
        </w:rPr>
      </w:pPr>
      <w:r>
        <w:rPr>
          <w:rFonts w:ascii="Palatino Linotype" w:hAnsi="Palatino Linotype" w:cs="Arial"/>
          <w:sz w:val="22"/>
          <w:szCs w:val="22"/>
        </w:rPr>
        <w:t xml:space="preserve">(3) “Mental health and substance use disorder benefits” means </w:t>
      </w:r>
      <w:r w:rsidRPr="00720229">
        <w:rPr>
          <w:rFonts w:ascii="Palatino Linotype" w:hAnsi="Palatino Linotype" w:cs="Arial"/>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5518207A" w14:textId="3462D0F3" w:rsidR="00337A47" w:rsidRDefault="00337A47" w:rsidP="006A36AE">
      <w:pPr>
        <w:ind w:firstLine="720"/>
        <w:rPr>
          <w:rFonts w:ascii="Palatino Linotype" w:hAnsi="Palatino Linotype" w:cs="Arial"/>
          <w:sz w:val="22"/>
          <w:szCs w:val="22"/>
        </w:rPr>
      </w:pPr>
      <w:r>
        <w:rPr>
          <w:rFonts w:ascii="Palatino Linotype" w:hAnsi="Palatino Linotype" w:cs="Arial"/>
          <w:sz w:val="22"/>
          <w:szCs w:val="22"/>
        </w:rPr>
        <w:t xml:space="preserve">(4) </w:t>
      </w:r>
      <w:r w:rsidRPr="00337A47">
        <w:rPr>
          <w:rFonts w:ascii="Palatino Linotype" w:hAnsi="Palatino Linotype" w:cs="Arial"/>
          <w:sz w:val="22"/>
          <w:szCs w:val="22"/>
        </w:rPr>
        <w:t>“</w:t>
      </w:r>
      <w:proofErr w:type="spellStart"/>
      <w:r w:rsidRPr="00337A47">
        <w:rPr>
          <w:rFonts w:ascii="Palatino Linotype" w:hAnsi="Palatino Linotype" w:cs="Arial"/>
          <w:sz w:val="22"/>
          <w:szCs w:val="22"/>
        </w:rPr>
        <w:t>Nonquantitative</w:t>
      </w:r>
      <w:proofErr w:type="spellEnd"/>
      <w:r w:rsidRPr="00337A47">
        <w:rPr>
          <w:rFonts w:ascii="Palatino Linotype" w:hAnsi="Palatino Linotype" w:cs="Arial"/>
          <w:sz w:val="22"/>
          <w:szCs w:val="22"/>
        </w:rPr>
        <w:t xml:space="preserve"> treatment limitation” means limitations that are not expressed numerically, but otherwise limit the scope or duration of benefits for treatment.</w:t>
      </w:r>
    </w:p>
    <w:p w14:paraId="3A56603A" w14:textId="1F439B5E" w:rsidR="007410D7" w:rsidRDefault="007410D7" w:rsidP="006A36AE">
      <w:pPr>
        <w:ind w:firstLine="720"/>
        <w:rPr>
          <w:rFonts w:ascii="Palatino Linotype" w:hAnsi="Palatino Linotype" w:cs="Arial"/>
          <w:sz w:val="22"/>
          <w:szCs w:val="22"/>
        </w:rPr>
      </w:pPr>
      <w:r>
        <w:rPr>
          <w:rFonts w:ascii="Palatino Linotype" w:hAnsi="Palatino Linotype" w:cs="Arial"/>
          <w:sz w:val="22"/>
          <w:szCs w:val="22"/>
        </w:rPr>
        <w:lastRenderedPageBreak/>
        <w:t>Sec. 2. (NEW) (</w:t>
      </w:r>
      <w:r w:rsidRPr="00834541">
        <w:rPr>
          <w:rFonts w:ascii="Palatino Linotype" w:hAnsi="Palatino Linotype" w:cs="Arial"/>
          <w:i/>
          <w:sz w:val="22"/>
          <w:szCs w:val="22"/>
        </w:rPr>
        <w:t>Effective January 1, 2020</w:t>
      </w:r>
      <w:r>
        <w:rPr>
          <w:rFonts w:ascii="Palatino Linotype" w:hAnsi="Palatino Linotype" w:cs="Arial"/>
          <w:sz w:val="22"/>
          <w:szCs w:val="22"/>
        </w:rPr>
        <w:t>) (a) Each health carrier shall</w:t>
      </w:r>
      <w:r w:rsidRPr="007410D7">
        <w:rPr>
          <w:rFonts w:ascii="Palatino Linotype" w:hAnsi="Palatino Linotype" w:cs="Arial"/>
          <w:sz w:val="22"/>
          <w:szCs w:val="22"/>
        </w:rPr>
        <w:t xml:space="preserve"> submit an annual report to the regulatory agency on or before </w:t>
      </w:r>
      <w:r>
        <w:rPr>
          <w:rFonts w:ascii="Palatino Linotype" w:hAnsi="Palatino Linotype" w:cs="Arial"/>
          <w:sz w:val="22"/>
          <w:szCs w:val="22"/>
        </w:rPr>
        <w:t>March first</w:t>
      </w:r>
      <w:r w:rsidRPr="007410D7">
        <w:rPr>
          <w:rFonts w:ascii="Palatino Linotype" w:hAnsi="Palatino Linotype" w:cs="Arial"/>
          <w:sz w:val="22"/>
          <w:szCs w:val="22"/>
        </w:rPr>
        <w:t xml:space="preserve"> that contains the following information:</w:t>
      </w:r>
    </w:p>
    <w:p w14:paraId="5987B598" w14:textId="46DB252B"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(1) </w:t>
      </w:r>
      <w:r w:rsidRPr="007410D7">
        <w:rPr>
          <w:rFonts w:ascii="Palatino Linotype" w:hAnsi="Palatino Linotype" w:cs="Arial"/>
          <w:sz w:val="22"/>
          <w:szCs w:val="22"/>
        </w:rPr>
        <w:t>A description of the process used to develop or select the medical necessity criteria for mental health and substance use disorder benefits and the process used to develop or select the medical necessity criteria for</w:t>
      </w:r>
      <w:r w:rsidR="00C30FC7">
        <w:rPr>
          <w:rFonts w:ascii="Palatino Linotype" w:hAnsi="Palatino Linotype" w:cs="Arial"/>
          <w:sz w:val="22"/>
          <w:szCs w:val="22"/>
        </w:rPr>
        <w:t xml:space="preserve"> medical and surgical benefits</w:t>
      </w:r>
      <w:proofErr w:type="gramStart"/>
      <w:r w:rsidR="00C30FC7">
        <w:rPr>
          <w:rFonts w:ascii="Palatino Linotype" w:hAnsi="Palatino Linotype" w:cs="Arial"/>
          <w:sz w:val="22"/>
          <w:szCs w:val="22"/>
        </w:rPr>
        <w:t>;</w:t>
      </w:r>
      <w:proofErr w:type="gramEnd"/>
    </w:p>
    <w:p w14:paraId="464E7910" w14:textId="54593B69"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(2) </w:t>
      </w:r>
      <w:r w:rsidRPr="007410D7">
        <w:rPr>
          <w:rFonts w:ascii="Palatino Linotype" w:hAnsi="Palatino Linotype" w:cs="Arial"/>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sidR="00C30FC7">
        <w:rPr>
          <w:rFonts w:ascii="Palatino Linotype" w:hAnsi="Palatino Linotype" w:cs="Arial"/>
          <w:sz w:val="22"/>
          <w:szCs w:val="22"/>
        </w:rPr>
        <w:t xml:space="preserve"> any classification of benefits;</w:t>
      </w:r>
    </w:p>
    <w:p w14:paraId="4B87236B" w14:textId="6D320C24" w:rsid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(3) </w:t>
      </w:r>
      <w:r w:rsidRPr="007410D7">
        <w:rPr>
          <w:rFonts w:ascii="Palatino Linotype" w:hAnsi="Palatino Linotype" w:cs="Arial"/>
          <w:sz w:val="22"/>
          <w:szCs w:val="22"/>
        </w:rPr>
        <w:t>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5800F2CF" w14:textId="7E491218"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(A) </w:t>
      </w:r>
      <w:r w:rsidRPr="007410D7">
        <w:rPr>
          <w:rFonts w:ascii="Palatino Linotype" w:hAnsi="Palatino Linotype" w:cs="Arial"/>
          <w:sz w:val="22"/>
          <w:szCs w:val="22"/>
        </w:rPr>
        <w:t>Identify the factors used to determine that an NQTL will apply to a benefit, including factors that were considered but rejected</w:t>
      </w:r>
      <w:proofErr w:type="gramStart"/>
      <w:r w:rsidR="00C30FC7">
        <w:rPr>
          <w:rFonts w:ascii="Palatino Linotype" w:hAnsi="Palatino Linotype" w:cs="Arial"/>
          <w:sz w:val="22"/>
          <w:szCs w:val="22"/>
        </w:rPr>
        <w:t>;</w:t>
      </w:r>
      <w:proofErr w:type="gramEnd"/>
    </w:p>
    <w:p w14:paraId="376FC717" w14:textId="54481296"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(B) </w:t>
      </w:r>
      <w:r w:rsidRPr="007410D7">
        <w:rPr>
          <w:rFonts w:ascii="Palatino Linotype" w:hAnsi="Palatino Linotype" w:cs="Arial"/>
          <w:sz w:val="22"/>
          <w:szCs w:val="22"/>
        </w:rPr>
        <w:t>Identify and define the specific evidentiary standards used to define the factors and any other evidence relied upon in designing each NQTL</w:t>
      </w:r>
      <w:r w:rsidR="00C30FC7">
        <w:rPr>
          <w:rFonts w:ascii="Palatino Linotype" w:hAnsi="Palatino Linotype" w:cs="Arial"/>
          <w:sz w:val="22"/>
          <w:szCs w:val="22"/>
        </w:rPr>
        <w:t>;</w:t>
      </w:r>
    </w:p>
    <w:p w14:paraId="563599AB" w14:textId="6BFDE5AC"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(C) </w:t>
      </w:r>
      <w:r w:rsidRPr="007410D7">
        <w:rPr>
          <w:rFonts w:ascii="Palatino Linotype" w:hAnsi="Palatino Linotype" w:cs="Arial"/>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C30FC7">
        <w:rPr>
          <w:rFonts w:ascii="Palatino Linotype" w:hAnsi="Palatino Linotype" w:cs="Arial"/>
          <w:sz w:val="22"/>
          <w:szCs w:val="22"/>
        </w:rPr>
        <w:t>;</w:t>
      </w:r>
    </w:p>
    <w:p w14:paraId="61550691" w14:textId="65BD7740"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(D) </w:t>
      </w:r>
      <w:r w:rsidRPr="007410D7">
        <w:rPr>
          <w:rFonts w:ascii="Palatino Linotype" w:hAnsi="Palatino Linotype" w:cs="Arial"/>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C30FC7">
        <w:rPr>
          <w:rFonts w:ascii="Palatino Linotype" w:hAnsi="Palatino Linotype" w:cs="Arial"/>
          <w:sz w:val="22"/>
          <w:szCs w:val="22"/>
        </w:rPr>
        <w:t>; and</w:t>
      </w:r>
    </w:p>
    <w:p w14:paraId="15E9D387" w14:textId="471AAF22" w:rsidR="007410D7" w:rsidRPr="007410D7" w:rsidRDefault="007410D7" w:rsidP="007410D7">
      <w:pPr>
        <w:ind w:firstLine="720"/>
        <w:rPr>
          <w:rFonts w:ascii="Palatino Linotype" w:hAnsi="Palatino Linotype" w:cs="Arial"/>
          <w:sz w:val="22"/>
          <w:szCs w:val="22"/>
        </w:rPr>
      </w:pPr>
      <w:r>
        <w:rPr>
          <w:rFonts w:ascii="Palatino Linotype" w:hAnsi="Palatino Linotype" w:cs="Arial"/>
          <w:sz w:val="22"/>
          <w:szCs w:val="22"/>
        </w:rPr>
        <w:t xml:space="preserve">(E) </w:t>
      </w:r>
      <w:r w:rsidRPr="007410D7">
        <w:rPr>
          <w:rFonts w:ascii="Palatino Linotype" w:hAnsi="Palatino Linotype" w:cs="Arial"/>
          <w:sz w:val="22"/>
          <w:szCs w:val="22"/>
        </w:rPr>
        <w:t xml:space="preserve">Disclose the specific findings and conclusions reached by the </w:t>
      </w:r>
      <w:r>
        <w:rPr>
          <w:rFonts w:ascii="Palatino Linotype" w:hAnsi="Palatino Linotype" w:cs="Arial"/>
          <w:sz w:val="22"/>
          <w:szCs w:val="22"/>
        </w:rPr>
        <w:t>health carrier</w:t>
      </w:r>
      <w:r w:rsidRPr="007410D7">
        <w:rPr>
          <w:rFonts w:ascii="Palatino Linotype" w:hAnsi="Palatino Linotype" w:cs="Arial"/>
          <w:sz w:val="22"/>
          <w:szCs w:val="22"/>
        </w:rPr>
        <w:t xml:space="preserve"> that the results of the analyses above indicate that the </w:t>
      </w:r>
      <w:r>
        <w:rPr>
          <w:rFonts w:ascii="Palatino Linotype" w:hAnsi="Palatino Linotype" w:cs="Arial"/>
          <w:sz w:val="22"/>
          <w:szCs w:val="22"/>
        </w:rPr>
        <w:t>health carrier</w:t>
      </w:r>
      <w:r w:rsidRPr="007410D7">
        <w:rPr>
          <w:rFonts w:ascii="Palatino Linotype" w:hAnsi="Palatino Linotype" w:cs="Arial"/>
          <w:sz w:val="22"/>
          <w:szCs w:val="22"/>
        </w:rPr>
        <w:t xml:space="preserve"> is in compliance with this section and the Mental Health Parity and Addiction Equity Act of 2008 and its implementing and related regulations, which includes 45 CFR 146.136, 45 CFR 14</w:t>
      </w:r>
      <w:r w:rsidR="00C30FC7">
        <w:rPr>
          <w:rFonts w:ascii="Palatino Linotype" w:hAnsi="Palatino Linotype" w:cs="Arial"/>
          <w:sz w:val="22"/>
          <w:szCs w:val="22"/>
        </w:rPr>
        <w:t>7.160, and 45 CFR 156.115(a)(3);</w:t>
      </w:r>
    </w:p>
    <w:p w14:paraId="71F78A15" w14:textId="77777777" w:rsidR="00580655" w:rsidRDefault="00580655" w:rsidP="00580655">
      <w:pPr>
        <w:rPr>
          <w:rFonts w:ascii="Palatino Linotype" w:hAnsi="Palatino Linotype" w:cs="Arial"/>
          <w:sz w:val="22"/>
          <w:szCs w:val="22"/>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2881"/>
      </w:tblGrid>
      <w:tr w:rsidR="00580655" w14:paraId="365FA2B0" w14:textId="77777777" w:rsidTr="004D71AE">
        <w:trPr>
          <w:trHeight w:val="895"/>
        </w:trPr>
        <w:tc>
          <w:tcPr>
            <w:tcW w:w="7202" w:type="dxa"/>
            <w:gridSpan w:val="3"/>
          </w:tcPr>
          <w:p w14:paraId="067AF6ED" w14:textId="77777777" w:rsidR="00580655" w:rsidRDefault="00580655" w:rsidP="004D71AE">
            <w:pPr>
              <w:pStyle w:val="TableParagraph"/>
              <w:spacing w:before="0" w:line="220" w:lineRule="auto"/>
              <w:ind w:left="107" w:right="116"/>
              <w:rPr>
                <w:sz w:val="24"/>
              </w:rPr>
            </w:pPr>
            <w:r>
              <w:rPr>
                <w:sz w:val="24"/>
              </w:rPr>
              <w:lastRenderedPageBreak/>
              <w:t>This act shall take effect as follows and shall amend the following sections:</w:t>
            </w:r>
          </w:p>
        </w:tc>
      </w:tr>
      <w:tr w:rsidR="00580655" w14:paraId="455ECA5C" w14:textId="77777777" w:rsidTr="004D71AE">
        <w:trPr>
          <w:trHeight w:val="297"/>
        </w:trPr>
        <w:tc>
          <w:tcPr>
            <w:tcW w:w="1440" w:type="dxa"/>
          </w:tcPr>
          <w:p w14:paraId="0DF10372" w14:textId="77777777" w:rsidR="00580655" w:rsidRDefault="00580655" w:rsidP="004D71AE">
            <w:pPr>
              <w:pStyle w:val="TableParagraph"/>
              <w:spacing w:before="0" w:line="277" w:lineRule="exact"/>
              <w:ind w:left="107"/>
              <w:rPr>
                <w:sz w:val="24"/>
              </w:rPr>
            </w:pPr>
            <w:r>
              <w:rPr>
                <w:sz w:val="24"/>
              </w:rPr>
              <w:t>Section 1</w:t>
            </w:r>
          </w:p>
        </w:tc>
        <w:tc>
          <w:tcPr>
            <w:tcW w:w="2881" w:type="dxa"/>
          </w:tcPr>
          <w:p w14:paraId="721DE728" w14:textId="5B171691" w:rsidR="00580655" w:rsidRDefault="00580655" w:rsidP="004D71AE">
            <w:pPr>
              <w:pStyle w:val="TableParagraph"/>
              <w:spacing w:before="0" w:line="277" w:lineRule="exact"/>
              <w:ind w:left="107"/>
              <w:rPr>
                <w:i/>
                <w:sz w:val="24"/>
              </w:rPr>
            </w:pPr>
            <w:r>
              <w:rPr>
                <w:i/>
                <w:sz w:val="24"/>
              </w:rPr>
              <w:t>January 1, 2020</w:t>
            </w:r>
          </w:p>
        </w:tc>
        <w:tc>
          <w:tcPr>
            <w:tcW w:w="2881" w:type="dxa"/>
          </w:tcPr>
          <w:p w14:paraId="0039D2F6" w14:textId="77777777" w:rsidR="00580655" w:rsidRDefault="00580655" w:rsidP="004D71AE">
            <w:pPr>
              <w:pStyle w:val="TableParagraph"/>
              <w:spacing w:before="0" w:line="277" w:lineRule="exact"/>
              <w:ind w:left="107"/>
              <w:rPr>
                <w:sz w:val="24"/>
              </w:rPr>
            </w:pPr>
            <w:r>
              <w:rPr>
                <w:sz w:val="24"/>
              </w:rPr>
              <w:t>New section</w:t>
            </w:r>
          </w:p>
        </w:tc>
      </w:tr>
      <w:tr w:rsidR="00580655" w14:paraId="766836DE" w14:textId="77777777" w:rsidTr="004D71AE">
        <w:trPr>
          <w:trHeight w:val="299"/>
        </w:trPr>
        <w:tc>
          <w:tcPr>
            <w:tcW w:w="1440" w:type="dxa"/>
          </w:tcPr>
          <w:p w14:paraId="6085FE98" w14:textId="77777777" w:rsidR="00580655" w:rsidRDefault="00580655" w:rsidP="004D71AE">
            <w:pPr>
              <w:pStyle w:val="TableParagraph"/>
              <w:spacing w:before="0" w:line="280" w:lineRule="exact"/>
              <w:ind w:left="107"/>
              <w:rPr>
                <w:sz w:val="24"/>
              </w:rPr>
            </w:pPr>
            <w:r>
              <w:rPr>
                <w:sz w:val="24"/>
              </w:rPr>
              <w:t>Sec. 2</w:t>
            </w:r>
          </w:p>
        </w:tc>
        <w:tc>
          <w:tcPr>
            <w:tcW w:w="2881" w:type="dxa"/>
          </w:tcPr>
          <w:p w14:paraId="0F84E6E9" w14:textId="3D885D19" w:rsidR="00580655" w:rsidRDefault="00580655" w:rsidP="004D71AE">
            <w:pPr>
              <w:pStyle w:val="TableParagraph"/>
              <w:spacing w:before="0" w:line="280" w:lineRule="exact"/>
              <w:ind w:left="107"/>
              <w:rPr>
                <w:i/>
                <w:sz w:val="24"/>
              </w:rPr>
            </w:pPr>
            <w:r>
              <w:rPr>
                <w:i/>
                <w:sz w:val="24"/>
              </w:rPr>
              <w:t>January 1, 2020</w:t>
            </w:r>
          </w:p>
        </w:tc>
        <w:tc>
          <w:tcPr>
            <w:tcW w:w="2881" w:type="dxa"/>
          </w:tcPr>
          <w:p w14:paraId="789B3C60" w14:textId="77777777" w:rsidR="00580655" w:rsidRDefault="00580655" w:rsidP="004D71AE">
            <w:pPr>
              <w:pStyle w:val="TableParagraph"/>
              <w:spacing w:before="0" w:line="280" w:lineRule="exact"/>
              <w:ind w:left="107"/>
              <w:rPr>
                <w:sz w:val="24"/>
              </w:rPr>
            </w:pPr>
            <w:r>
              <w:rPr>
                <w:sz w:val="24"/>
              </w:rPr>
              <w:t>New section</w:t>
            </w:r>
          </w:p>
        </w:tc>
      </w:tr>
    </w:tbl>
    <w:p w14:paraId="3CE4EF4C" w14:textId="77777777" w:rsidR="002546FE" w:rsidRDefault="002546FE" w:rsidP="002546FE">
      <w:pPr>
        <w:pStyle w:val="Heading1"/>
        <w:spacing w:line="267" w:lineRule="exact"/>
        <w:ind w:left="880"/>
      </w:pPr>
    </w:p>
    <w:p w14:paraId="0CC7B7F1" w14:textId="77777777" w:rsidR="002546FE" w:rsidRPr="002546FE" w:rsidRDefault="002546FE" w:rsidP="002546FE">
      <w:pPr>
        <w:pStyle w:val="Heading1"/>
        <w:spacing w:line="267" w:lineRule="exact"/>
        <w:ind w:left="880"/>
      </w:pPr>
      <w:r w:rsidRPr="002546FE">
        <w:t>Statement of Purpose:</w:t>
      </w:r>
    </w:p>
    <w:p w14:paraId="64E83FD0" w14:textId="3565B032" w:rsidR="002546FE" w:rsidRDefault="002546FE" w:rsidP="002546FE">
      <w:pPr>
        <w:pStyle w:val="BodyText"/>
        <w:spacing w:before="12" w:line="220" w:lineRule="auto"/>
        <w:ind w:right="438" w:firstLine="0"/>
        <w:jc w:val="both"/>
        <w:rPr>
          <w:sz w:val="22"/>
          <w:szCs w:val="22"/>
        </w:rPr>
      </w:pPr>
      <w:r w:rsidRPr="002546FE">
        <w:rPr>
          <w:sz w:val="22"/>
          <w:szCs w:val="22"/>
        </w:rPr>
        <w:t>To</w:t>
      </w:r>
      <w:r>
        <w:rPr>
          <w:sz w:val="22"/>
          <w:szCs w:val="22"/>
        </w:rPr>
        <w:t xml:space="preserve"> </w:t>
      </w:r>
      <w:r w:rsidRPr="002546FE">
        <w:rPr>
          <w:sz w:val="22"/>
          <w:szCs w:val="22"/>
        </w:rPr>
        <w:t>require that health carriers report data to the Insurance Department</w:t>
      </w:r>
      <w:bookmarkStart w:id="0" w:name="_GoBack"/>
      <w:bookmarkEnd w:id="0"/>
      <w:r w:rsidRPr="002546FE">
        <w:rPr>
          <w:sz w:val="22"/>
          <w:szCs w:val="22"/>
        </w:rPr>
        <w:t>.</w:t>
      </w:r>
    </w:p>
    <w:p w14:paraId="3157E22A" w14:textId="77777777" w:rsidR="006211CB" w:rsidRDefault="006211CB" w:rsidP="002546FE">
      <w:pPr>
        <w:pStyle w:val="BodyText"/>
        <w:spacing w:before="12" w:line="220" w:lineRule="auto"/>
        <w:ind w:right="438" w:firstLine="0"/>
        <w:jc w:val="both"/>
        <w:rPr>
          <w:sz w:val="22"/>
          <w:szCs w:val="22"/>
        </w:rPr>
      </w:pPr>
    </w:p>
    <w:p w14:paraId="052141FC" w14:textId="77777777" w:rsidR="006211CB" w:rsidRDefault="006211CB" w:rsidP="006211CB">
      <w:pPr>
        <w:ind w:left="880" w:right="438"/>
        <w:jc w:val="both"/>
        <w:rPr>
          <w:rFonts w:ascii="Arial"/>
          <w:b/>
          <w:i/>
          <w:sz w:val="16"/>
        </w:rPr>
      </w:pPr>
      <w:r>
        <w:rPr>
          <w:rFonts w:ascii="Arial"/>
          <w:b/>
          <w:i/>
          <w:sz w:val="16"/>
        </w:rPr>
        <w:t>[Proposed deletions are enclosed in brackets. Proposed additions are indicated by underline, except that when the entire text of a bill or resolution or a section of a bill or resolution is new, it is not underlined.]</w:t>
      </w:r>
    </w:p>
    <w:p w14:paraId="138C36DC" w14:textId="77777777" w:rsidR="006211CB" w:rsidRPr="002546FE" w:rsidRDefault="006211CB" w:rsidP="002546FE">
      <w:pPr>
        <w:pStyle w:val="BodyText"/>
        <w:spacing w:before="12" w:line="220" w:lineRule="auto"/>
        <w:ind w:right="438" w:firstLine="0"/>
        <w:jc w:val="both"/>
        <w:rPr>
          <w:sz w:val="22"/>
          <w:szCs w:val="22"/>
        </w:rPr>
      </w:pPr>
    </w:p>
    <w:p w14:paraId="40793F37" w14:textId="77777777" w:rsidR="00580655" w:rsidRPr="00B04AC9" w:rsidRDefault="00580655" w:rsidP="00580655">
      <w:pPr>
        <w:rPr>
          <w:rFonts w:ascii="Palatino Linotype" w:hAnsi="Palatino Linotype" w:cs="Arial"/>
          <w:sz w:val="22"/>
          <w:szCs w:val="22"/>
        </w:rPr>
      </w:pPr>
    </w:p>
    <w:p w14:paraId="677F3402" w14:textId="15FB11D6" w:rsidR="00B04AC9" w:rsidRPr="007410D7" w:rsidRDefault="00B04AC9" w:rsidP="007410D7">
      <w:pPr>
        <w:ind w:firstLine="720"/>
        <w:rPr>
          <w:rFonts w:ascii="Palatino Linotype" w:hAnsi="Palatino Linotype" w:cs="Arial"/>
          <w:sz w:val="22"/>
          <w:szCs w:val="22"/>
        </w:rPr>
      </w:pPr>
    </w:p>
    <w:p w14:paraId="7FAC292E" w14:textId="0AB4C738" w:rsidR="007410D7" w:rsidRPr="006A36AE" w:rsidRDefault="007410D7" w:rsidP="006A36AE">
      <w:pPr>
        <w:ind w:firstLine="720"/>
        <w:rPr>
          <w:rFonts w:ascii="Palatino Linotype" w:hAnsi="Palatino Linotype" w:cs="Arial"/>
          <w:sz w:val="22"/>
          <w:szCs w:val="22"/>
        </w:rPr>
      </w:pPr>
    </w:p>
    <w:p w14:paraId="184F192B" w14:textId="5E94F1E5" w:rsidR="00E97EF3" w:rsidRPr="00E97EF3" w:rsidRDefault="00E97EF3" w:rsidP="00E97EF3">
      <w:pPr>
        <w:ind w:firstLine="720"/>
        <w:rPr>
          <w:rFonts w:ascii="Palatino Linotype" w:hAnsi="Palatino Linotype" w:cs="Arial"/>
          <w:sz w:val="22"/>
          <w:szCs w:val="22"/>
        </w:rPr>
      </w:pPr>
    </w:p>
    <w:p w14:paraId="54DA7472" w14:textId="77777777" w:rsidR="00E97EF3" w:rsidRDefault="00E97EF3">
      <w:pPr>
        <w:ind w:firstLine="720"/>
        <w:rPr>
          <w:rFonts w:ascii="Palatino Linotype" w:hAnsi="Palatino Linotype"/>
          <w:sz w:val="22"/>
          <w:szCs w:val="22"/>
        </w:rPr>
      </w:pPr>
    </w:p>
    <w:p w14:paraId="5940D29F" w14:textId="0B7B29DC" w:rsidR="00485A15" w:rsidRPr="00594845" w:rsidRDefault="00485A15" w:rsidP="0092130E">
      <w:pPr>
        <w:ind w:firstLine="720"/>
        <w:rPr>
          <w:rFonts w:ascii="Palatino Linotype" w:hAnsi="Palatino Linotype"/>
          <w:sz w:val="22"/>
          <w:szCs w:val="22"/>
          <w:u w:val="single"/>
        </w:rPr>
      </w:pPr>
    </w:p>
    <w:sectPr w:rsidR="00485A15" w:rsidRPr="00594845" w:rsidSect="00881470">
      <w:headerReference w:type="default" r:id="rId11"/>
      <w:headerReference w:type="first" r:id="rId12"/>
      <w:pgSz w:w="12240" w:h="15840"/>
      <w:pgMar w:top="1440" w:right="1800" w:bottom="1440" w:left="1800" w:header="576"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2D9F6" w15:done="0"/>
  <w15:commentEx w15:paraId="0ED6E2AD" w15:done="0"/>
  <w15:commentEx w15:paraId="374AF1B8" w15:done="0"/>
  <w15:commentEx w15:paraId="3A189140" w15:done="0"/>
  <w15:commentEx w15:paraId="555E24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33213" w14:textId="77777777" w:rsidR="004D71AE" w:rsidRDefault="004D71AE">
      <w:r>
        <w:separator/>
      </w:r>
    </w:p>
  </w:endnote>
  <w:endnote w:type="continuationSeparator" w:id="0">
    <w:p w14:paraId="535C92D5" w14:textId="77777777" w:rsidR="004D71AE" w:rsidRDefault="004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D14F9" w14:textId="77777777" w:rsidR="004D71AE" w:rsidRDefault="004D71AE">
      <w:r>
        <w:separator/>
      </w:r>
    </w:p>
  </w:footnote>
  <w:footnote w:type="continuationSeparator" w:id="0">
    <w:p w14:paraId="15D7CBEE" w14:textId="77777777" w:rsidR="004D71AE" w:rsidRDefault="004D71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64D06" w14:textId="03EF7B75" w:rsidR="004D71AE" w:rsidRDefault="004D71AE" w:rsidP="00B91495">
    <w:pPr>
      <w:pStyle w:val="Header"/>
      <w:tabs>
        <w:tab w:val="left" w:pos="1200"/>
      </w:tabs>
    </w:pPr>
    <w:r>
      <w:tab/>
    </w:r>
    <w:r>
      <w:tab/>
    </w:r>
    <w:r>
      <w:rPr>
        <w:noProof/>
      </w:rPr>
      <mc:AlternateContent>
        <mc:Choice Requires="wps">
          <w:drawing>
            <wp:anchor distT="0" distB="0" distL="114300" distR="114300" simplePos="0" relativeHeight="251659264" behindDoc="1" locked="0" layoutInCell="1" allowOverlap="1" wp14:editId="0EECFC16">
              <wp:simplePos x="0" y="0"/>
              <wp:positionH relativeFrom="page">
                <wp:posOffset>1504950</wp:posOffset>
              </wp:positionH>
              <wp:positionV relativeFrom="page">
                <wp:posOffset>675640</wp:posOffset>
              </wp:positionV>
              <wp:extent cx="4973320" cy="167005"/>
              <wp:effectExtent l="6350" t="2540" r="0" b="0"/>
              <wp:wrapThrough wrapText="bothSides">
                <wp:wrapPolygon edited="0">
                  <wp:start x="0" y="0"/>
                  <wp:lineTo x="21600" y="0"/>
                  <wp:lineTo x="21600" y="21600"/>
                  <wp:lineTo x="0" y="2160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1CB2"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18.5pt;margin-top:53.2pt;width:391.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k42awCAACp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" filled="f" stroked="f">
              <v:textbox inset="0,0,0,0">
                <w:txbxContent>
                  <w:p w14:paraId="58D11CB2"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v:textbox>
              <w10:wrap type="through"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C5169" w14:textId="529EE60A" w:rsidR="004D71AE" w:rsidRDefault="004D71AE" w:rsidP="00EE71C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4FF"/>
    <w:multiLevelType w:val="hybridMultilevel"/>
    <w:tmpl w:val="D04ECDD4"/>
    <w:lvl w:ilvl="0" w:tplc="B844B940">
      <w:start w:val="1"/>
      <w:numFmt w:val="decimal"/>
      <w:lvlText w:val="%1"/>
      <w:lvlJc w:val="left"/>
      <w:pPr>
        <w:ind w:left="1168" w:hanging="768"/>
        <w:jc w:val="right"/>
      </w:pPr>
      <w:rPr>
        <w:rFonts w:ascii="Palatino Linotype" w:eastAsia="Palatino Linotype" w:hAnsi="Palatino Linotype" w:cs="Palatino Linotype" w:hint="default"/>
        <w:spacing w:val="-4"/>
        <w:w w:val="100"/>
        <w:sz w:val="24"/>
        <w:szCs w:val="24"/>
        <w:lang w:val="en-US" w:eastAsia="en-US" w:bidi="en-US"/>
      </w:rPr>
    </w:lvl>
    <w:lvl w:ilvl="1" w:tplc="58C01220">
      <w:numFmt w:val="bullet"/>
      <w:lvlText w:val="•"/>
      <w:lvlJc w:val="left"/>
      <w:pPr>
        <w:ind w:left="1932" w:hanging="768"/>
      </w:pPr>
      <w:rPr>
        <w:rFonts w:hint="default"/>
        <w:lang w:val="en-US" w:eastAsia="en-US" w:bidi="en-US"/>
      </w:rPr>
    </w:lvl>
    <w:lvl w:ilvl="2" w:tplc="DA522DA0">
      <w:numFmt w:val="bullet"/>
      <w:lvlText w:val="•"/>
      <w:lvlJc w:val="left"/>
      <w:pPr>
        <w:ind w:left="2704" w:hanging="768"/>
      </w:pPr>
      <w:rPr>
        <w:rFonts w:hint="default"/>
        <w:lang w:val="en-US" w:eastAsia="en-US" w:bidi="en-US"/>
      </w:rPr>
    </w:lvl>
    <w:lvl w:ilvl="3" w:tplc="D172A5CE">
      <w:numFmt w:val="bullet"/>
      <w:lvlText w:val="•"/>
      <w:lvlJc w:val="left"/>
      <w:pPr>
        <w:ind w:left="3476" w:hanging="768"/>
      </w:pPr>
      <w:rPr>
        <w:rFonts w:hint="default"/>
        <w:lang w:val="en-US" w:eastAsia="en-US" w:bidi="en-US"/>
      </w:rPr>
    </w:lvl>
    <w:lvl w:ilvl="4" w:tplc="69F0B53A">
      <w:numFmt w:val="bullet"/>
      <w:lvlText w:val="•"/>
      <w:lvlJc w:val="left"/>
      <w:pPr>
        <w:ind w:left="4248" w:hanging="768"/>
      </w:pPr>
      <w:rPr>
        <w:rFonts w:hint="default"/>
        <w:lang w:val="en-US" w:eastAsia="en-US" w:bidi="en-US"/>
      </w:rPr>
    </w:lvl>
    <w:lvl w:ilvl="5" w:tplc="26888378">
      <w:numFmt w:val="bullet"/>
      <w:lvlText w:val="•"/>
      <w:lvlJc w:val="left"/>
      <w:pPr>
        <w:ind w:left="5020" w:hanging="768"/>
      </w:pPr>
      <w:rPr>
        <w:rFonts w:hint="default"/>
        <w:lang w:val="en-US" w:eastAsia="en-US" w:bidi="en-US"/>
      </w:rPr>
    </w:lvl>
    <w:lvl w:ilvl="6" w:tplc="3736607A">
      <w:numFmt w:val="bullet"/>
      <w:lvlText w:val="•"/>
      <w:lvlJc w:val="left"/>
      <w:pPr>
        <w:ind w:left="5792" w:hanging="768"/>
      </w:pPr>
      <w:rPr>
        <w:rFonts w:hint="default"/>
        <w:lang w:val="en-US" w:eastAsia="en-US" w:bidi="en-US"/>
      </w:rPr>
    </w:lvl>
    <w:lvl w:ilvl="7" w:tplc="902EAD4C">
      <w:numFmt w:val="bullet"/>
      <w:lvlText w:val="•"/>
      <w:lvlJc w:val="left"/>
      <w:pPr>
        <w:ind w:left="6564" w:hanging="768"/>
      </w:pPr>
      <w:rPr>
        <w:rFonts w:hint="default"/>
        <w:lang w:val="en-US" w:eastAsia="en-US" w:bidi="en-US"/>
      </w:rPr>
    </w:lvl>
    <w:lvl w:ilvl="8" w:tplc="E602913E">
      <w:numFmt w:val="bullet"/>
      <w:lvlText w:val="•"/>
      <w:lvlJc w:val="left"/>
      <w:pPr>
        <w:ind w:left="7336" w:hanging="768"/>
      </w:pPr>
      <w:rPr>
        <w:rFonts w:hint="default"/>
        <w:lang w:val="en-US" w:eastAsia="en-US" w:bidi="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ian Fontanella">
    <w15:presenceInfo w15:providerId="AD" w15:userId="S-1-5-21-746137067-854245398-682003330-85755"/>
  </w15:person>
  <w15:person w15:author="Demian Fontanella [2]">
    <w15:presenceInfo w15:providerId="AD" w15:userId="S-1-5-21-746137067-854245398-682003330-85755"/>
  </w15:person>
  <w15:person w15:author="Demian Fontanella [3]">
    <w15:presenceInfo w15:providerId="AD" w15:userId="S-1-5-21-746137067-854245398-682003330-85755"/>
  </w15:person>
  <w15:person w15:author="Demian Fontanella [4]">
    <w15:presenceInfo w15:providerId="AD" w15:userId="S-1-5-21-746137067-854245398-682003330-85755"/>
  </w15:person>
  <w15:person w15:author="Demian Fontanella [5]">
    <w15:presenceInfo w15:providerId="AD" w15:userId="S-1-5-21-746137067-854245398-682003330-85755"/>
  </w15:person>
  <w15:person w15:author="Fontanella, Demian">
    <w15:presenceInfo w15:providerId="AD" w15:userId="S-1-5-21-746137067-854245398-682003330-8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CB"/>
    <w:rsid w:val="00003519"/>
    <w:rsid w:val="000102C5"/>
    <w:rsid w:val="00017894"/>
    <w:rsid w:val="00023E1A"/>
    <w:rsid w:val="00052F14"/>
    <w:rsid w:val="00070C6B"/>
    <w:rsid w:val="000C4FB6"/>
    <w:rsid w:val="000D0E27"/>
    <w:rsid w:val="000D5D82"/>
    <w:rsid w:val="000E26B7"/>
    <w:rsid w:val="00126D59"/>
    <w:rsid w:val="001837CE"/>
    <w:rsid w:val="001907BA"/>
    <w:rsid w:val="001A3992"/>
    <w:rsid w:val="001A5904"/>
    <w:rsid w:val="001B5933"/>
    <w:rsid w:val="001C1FC4"/>
    <w:rsid w:val="001E5111"/>
    <w:rsid w:val="001F4F24"/>
    <w:rsid w:val="00202113"/>
    <w:rsid w:val="00212A86"/>
    <w:rsid w:val="00215902"/>
    <w:rsid w:val="00240780"/>
    <w:rsid w:val="002546FE"/>
    <w:rsid w:val="0026171D"/>
    <w:rsid w:val="00285C31"/>
    <w:rsid w:val="00286EE7"/>
    <w:rsid w:val="002A58E7"/>
    <w:rsid w:val="002C12AC"/>
    <w:rsid w:val="002F599B"/>
    <w:rsid w:val="00316304"/>
    <w:rsid w:val="00330B64"/>
    <w:rsid w:val="00335223"/>
    <w:rsid w:val="00335A97"/>
    <w:rsid w:val="00337A47"/>
    <w:rsid w:val="00337FCB"/>
    <w:rsid w:val="00393D2B"/>
    <w:rsid w:val="003B5BA5"/>
    <w:rsid w:val="003F4078"/>
    <w:rsid w:val="00484491"/>
    <w:rsid w:val="00484F95"/>
    <w:rsid w:val="00485A15"/>
    <w:rsid w:val="004D71AE"/>
    <w:rsid w:val="00535F53"/>
    <w:rsid w:val="005429E9"/>
    <w:rsid w:val="005518C0"/>
    <w:rsid w:val="00555BD8"/>
    <w:rsid w:val="00580655"/>
    <w:rsid w:val="005879A2"/>
    <w:rsid w:val="00593E75"/>
    <w:rsid w:val="00594845"/>
    <w:rsid w:val="005E5BC9"/>
    <w:rsid w:val="005F16FA"/>
    <w:rsid w:val="005F4243"/>
    <w:rsid w:val="00605719"/>
    <w:rsid w:val="00606E8D"/>
    <w:rsid w:val="006159D7"/>
    <w:rsid w:val="006211CB"/>
    <w:rsid w:val="00653D67"/>
    <w:rsid w:val="006A36AE"/>
    <w:rsid w:val="006A6201"/>
    <w:rsid w:val="006B343A"/>
    <w:rsid w:val="006C2AB6"/>
    <w:rsid w:val="006D41EE"/>
    <w:rsid w:val="006D4D5D"/>
    <w:rsid w:val="006F5568"/>
    <w:rsid w:val="00720229"/>
    <w:rsid w:val="007410D7"/>
    <w:rsid w:val="00741C62"/>
    <w:rsid w:val="0074232A"/>
    <w:rsid w:val="0076461E"/>
    <w:rsid w:val="00765FD8"/>
    <w:rsid w:val="0078037F"/>
    <w:rsid w:val="007A30DD"/>
    <w:rsid w:val="007C4B90"/>
    <w:rsid w:val="007E6D96"/>
    <w:rsid w:val="00803112"/>
    <w:rsid w:val="0082660A"/>
    <w:rsid w:val="00833461"/>
    <w:rsid w:val="00834541"/>
    <w:rsid w:val="00854DFA"/>
    <w:rsid w:val="0087386D"/>
    <w:rsid w:val="00881470"/>
    <w:rsid w:val="008A3E86"/>
    <w:rsid w:val="008C2F3B"/>
    <w:rsid w:val="0092130E"/>
    <w:rsid w:val="009765C1"/>
    <w:rsid w:val="00977AAB"/>
    <w:rsid w:val="00981380"/>
    <w:rsid w:val="0098504F"/>
    <w:rsid w:val="009B1429"/>
    <w:rsid w:val="009E2A3A"/>
    <w:rsid w:val="00A552ED"/>
    <w:rsid w:val="00A7135F"/>
    <w:rsid w:val="00A928B1"/>
    <w:rsid w:val="00AB410A"/>
    <w:rsid w:val="00AB5533"/>
    <w:rsid w:val="00AB685C"/>
    <w:rsid w:val="00AE6F35"/>
    <w:rsid w:val="00B01908"/>
    <w:rsid w:val="00B04AC9"/>
    <w:rsid w:val="00B91495"/>
    <w:rsid w:val="00B94FC4"/>
    <w:rsid w:val="00C22F07"/>
    <w:rsid w:val="00C30FC7"/>
    <w:rsid w:val="00C55554"/>
    <w:rsid w:val="00C64E3F"/>
    <w:rsid w:val="00C67248"/>
    <w:rsid w:val="00C777A3"/>
    <w:rsid w:val="00C8334D"/>
    <w:rsid w:val="00CB19A9"/>
    <w:rsid w:val="00CB479D"/>
    <w:rsid w:val="00CC4FE9"/>
    <w:rsid w:val="00CD031E"/>
    <w:rsid w:val="00D12BFB"/>
    <w:rsid w:val="00D33B8C"/>
    <w:rsid w:val="00D352F5"/>
    <w:rsid w:val="00D90062"/>
    <w:rsid w:val="00DA6AE5"/>
    <w:rsid w:val="00DB7D49"/>
    <w:rsid w:val="00DF7667"/>
    <w:rsid w:val="00E01EAE"/>
    <w:rsid w:val="00E5581F"/>
    <w:rsid w:val="00E97EF3"/>
    <w:rsid w:val="00EA49D3"/>
    <w:rsid w:val="00ED195A"/>
    <w:rsid w:val="00ED4DEF"/>
    <w:rsid w:val="00EE71C7"/>
    <w:rsid w:val="00EF6F29"/>
    <w:rsid w:val="00F233E2"/>
    <w:rsid w:val="00F607CA"/>
    <w:rsid w:val="00F60F34"/>
    <w:rsid w:val="00F67255"/>
    <w:rsid w:val="00F76841"/>
    <w:rsid w:val="00F91460"/>
    <w:rsid w:val="00FA38D1"/>
    <w:rsid w:val="00FA435A"/>
    <w:rsid w:val="00FE1DC0"/>
    <w:rsid w:val="00FF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B85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3212">
      <w:bodyDiv w:val="1"/>
      <w:marLeft w:val="0"/>
      <w:marRight w:val="0"/>
      <w:marTop w:val="0"/>
      <w:marBottom w:val="0"/>
      <w:divBdr>
        <w:top w:val="none" w:sz="0" w:space="0" w:color="auto"/>
        <w:left w:val="none" w:sz="0" w:space="0" w:color="auto"/>
        <w:bottom w:val="none" w:sz="0" w:space="0" w:color="auto"/>
        <w:right w:val="none" w:sz="0" w:space="0" w:color="auto"/>
      </w:divBdr>
    </w:div>
    <w:div w:id="326905821">
      <w:bodyDiv w:val="1"/>
      <w:marLeft w:val="0"/>
      <w:marRight w:val="0"/>
      <w:marTop w:val="0"/>
      <w:marBottom w:val="0"/>
      <w:divBdr>
        <w:top w:val="none" w:sz="0" w:space="0" w:color="auto"/>
        <w:left w:val="none" w:sz="0" w:space="0" w:color="auto"/>
        <w:bottom w:val="none" w:sz="0" w:space="0" w:color="auto"/>
        <w:right w:val="none" w:sz="0" w:space="0" w:color="auto"/>
      </w:divBdr>
    </w:div>
    <w:div w:id="351539327">
      <w:bodyDiv w:val="1"/>
      <w:marLeft w:val="0"/>
      <w:marRight w:val="0"/>
      <w:marTop w:val="0"/>
      <w:marBottom w:val="0"/>
      <w:divBdr>
        <w:top w:val="none" w:sz="0" w:space="0" w:color="auto"/>
        <w:left w:val="none" w:sz="0" w:space="0" w:color="auto"/>
        <w:bottom w:val="none" w:sz="0" w:space="0" w:color="auto"/>
        <w:right w:val="none" w:sz="0" w:space="0" w:color="auto"/>
      </w:divBdr>
    </w:div>
    <w:div w:id="512841494">
      <w:bodyDiv w:val="1"/>
      <w:marLeft w:val="0"/>
      <w:marRight w:val="0"/>
      <w:marTop w:val="0"/>
      <w:marBottom w:val="0"/>
      <w:divBdr>
        <w:top w:val="none" w:sz="0" w:space="0" w:color="auto"/>
        <w:left w:val="none" w:sz="0" w:space="0" w:color="auto"/>
        <w:bottom w:val="none" w:sz="0" w:space="0" w:color="auto"/>
        <w:right w:val="none" w:sz="0" w:space="0" w:color="auto"/>
      </w:divBdr>
    </w:div>
    <w:div w:id="609623796">
      <w:bodyDiv w:val="1"/>
      <w:marLeft w:val="0"/>
      <w:marRight w:val="0"/>
      <w:marTop w:val="0"/>
      <w:marBottom w:val="0"/>
      <w:divBdr>
        <w:top w:val="none" w:sz="0" w:space="0" w:color="auto"/>
        <w:left w:val="none" w:sz="0" w:space="0" w:color="auto"/>
        <w:bottom w:val="none" w:sz="0" w:space="0" w:color="auto"/>
        <w:right w:val="none" w:sz="0" w:space="0" w:color="auto"/>
      </w:divBdr>
    </w:div>
    <w:div w:id="754277841">
      <w:bodyDiv w:val="1"/>
      <w:marLeft w:val="0"/>
      <w:marRight w:val="0"/>
      <w:marTop w:val="0"/>
      <w:marBottom w:val="0"/>
      <w:divBdr>
        <w:top w:val="none" w:sz="0" w:space="0" w:color="auto"/>
        <w:left w:val="none" w:sz="0" w:space="0" w:color="auto"/>
        <w:bottom w:val="none" w:sz="0" w:space="0" w:color="auto"/>
        <w:right w:val="none" w:sz="0" w:space="0" w:color="auto"/>
      </w:divBdr>
    </w:div>
    <w:div w:id="946808993">
      <w:bodyDiv w:val="1"/>
      <w:marLeft w:val="0"/>
      <w:marRight w:val="0"/>
      <w:marTop w:val="0"/>
      <w:marBottom w:val="0"/>
      <w:divBdr>
        <w:top w:val="none" w:sz="0" w:space="0" w:color="auto"/>
        <w:left w:val="none" w:sz="0" w:space="0" w:color="auto"/>
        <w:bottom w:val="none" w:sz="0" w:space="0" w:color="auto"/>
        <w:right w:val="none" w:sz="0" w:space="0" w:color="auto"/>
      </w:divBdr>
    </w:div>
    <w:div w:id="1420567203">
      <w:bodyDiv w:val="1"/>
      <w:marLeft w:val="0"/>
      <w:marRight w:val="0"/>
      <w:marTop w:val="0"/>
      <w:marBottom w:val="0"/>
      <w:divBdr>
        <w:top w:val="none" w:sz="0" w:space="0" w:color="auto"/>
        <w:left w:val="none" w:sz="0" w:space="0" w:color="auto"/>
        <w:bottom w:val="none" w:sz="0" w:space="0" w:color="auto"/>
        <w:right w:val="none" w:sz="0" w:space="0" w:color="auto"/>
      </w:divBdr>
    </w:div>
    <w:div w:id="1496609868">
      <w:bodyDiv w:val="1"/>
      <w:marLeft w:val="0"/>
      <w:marRight w:val="0"/>
      <w:marTop w:val="0"/>
      <w:marBottom w:val="0"/>
      <w:divBdr>
        <w:top w:val="none" w:sz="0" w:space="0" w:color="auto"/>
        <w:left w:val="none" w:sz="0" w:space="0" w:color="auto"/>
        <w:bottom w:val="none" w:sz="0" w:space="0" w:color="auto"/>
        <w:right w:val="none" w:sz="0" w:space="0" w:color="auto"/>
      </w:divBdr>
    </w:div>
    <w:div w:id="1526167663">
      <w:bodyDiv w:val="1"/>
      <w:marLeft w:val="0"/>
      <w:marRight w:val="0"/>
      <w:marTop w:val="0"/>
      <w:marBottom w:val="0"/>
      <w:divBdr>
        <w:top w:val="none" w:sz="0" w:space="0" w:color="auto"/>
        <w:left w:val="none" w:sz="0" w:space="0" w:color="auto"/>
        <w:bottom w:val="none" w:sz="0" w:space="0" w:color="auto"/>
        <w:right w:val="none" w:sz="0" w:space="0" w:color="auto"/>
      </w:divBdr>
    </w:div>
    <w:div w:id="1869946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6374BF-F6C2-F849-854A-FEB172F3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4342</Characters>
  <Application>Microsoft Macintosh Word</Application>
  <DocSecurity>0</DocSecurity>
  <Lines>94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6</cp:revision>
  <cp:lastPrinted>2016-06-22T16:32:00Z</cp:lastPrinted>
  <dcterms:created xsi:type="dcterms:W3CDTF">2018-09-01T15:40:00Z</dcterms:created>
  <dcterms:modified xsi:type="dcterms:W3CDTF">2018-09-01T15:40:00Z</dcterms:modified>
</cp:coreProperties>
</file>